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MINISTERE DE LA COMMUNAUTE FRANCAISE</w:t>
      </w:r>
    </w:p>
    <w:p>
      <w:pPr>
        <w:pStyle w:val="Texte"/>
        <w:jc w:val="center"/>
        <w:rPr>
          <w:rFonts w:ascii="Times New Roman" w:hAnsi="Times New Roman"/>
          <w:b/>
          <w:bCs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bCs/>
          <w:sz w:val="18"/>
          <w:szCs w:val="18"/>
          <w:lang w:val="fr-FR"/>
        </w:rPr>
      </w:pPr>
      <w:r>
        <w:rPr>
          <w:rFonts w:ascii="Times New Roman" w:hAnsi="Times New Roman"/>
          <w:b/>
          <w:bCs/>
          <w:sz w:val="18"/>
          <w:szCs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 xml:space="preserve">ENSEIGNEMENT DE PROMOTION SOCIALE </w:t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/>
    <w:p/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UNITE D'ENSEIGNEMENT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</w:pPr>
      <w:r>
        <w:rPr>
          <w:b/>
          <w:bCs/>
          <w:caps/>
          <w:sz w:val="32"/>
          <w:szCs w:val="32"/>
        </w:rPr>
        <w:t>C2D - MATHEMATIQUES : N</w:t>
      </w:r>
      <w:r>
        <w:rPr>
          <w:b/>
          <w:bCs/>
          <w:sz w:val="32"/>
          <w:szCs w:val="32"/>
        </w:rPr>
        <w:t xml:space="preserve">iveau </w:t>
      </w:r>
      <w:r>
        <w:rPr>
          <w:b/>
          <w:bCs/>
          <w:caps/>
          <w:sz w:val="32"/>
          <w:szCs w:val="32"/>
        </w:rPr>
        <w:t>2</w:t>
      </w:r>
    </w:p>
    <w:p>
      <w:pPr>
        <w:jc w:val="center"/>
      </w:pPr>
    </w:p>
    <w:p>
      <w:pPr>
        <w:jc w:val="center"/>
      </w:pPr>
    </w:p>
    <w:p>
      <w:pPr>
        <w:pStyle w:val="Texte"/>
        <w:jc w:val="center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 xml:space="preserve">ENSEIGNEMENT </w:t>
      </w:r>
      <w:r>
        <w:rPr>
          <w:rFonts w:ascii="Times New Roman" w:hAnsi="Times New Roman"/>
          <w:b/>
          <w:bCs/>
          <w:caps/>
          <w:sz w:val="22"/>
          <w:szCs w:val="22"/>
          <w:lang w:val="fr-FR"/>
        </w:rPr>
        <w:t>SECONDAIRE SUPERIEUR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  <w:tcBorders>
              <w:top w:val="single" w:sz="6" w:space="0" w:color="auto"/>
              <w:bottom w:val="nil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CODE : 01 12 20 U21 D1 </w:t>
            </w:r>
          </w:p>
        </w:tc>
      </w:tr>
      <w:tr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CODE DU DOMAINE DE FORMATION : 001</w:t>
            </w:r>
          </w:p>
        </w:tc>
      </w:tr>
      <w:tr>
        <w:tc>
          <w:tcPr>
            <w:tcW w:w="5529" w:type="dxa"/>
            <w:tcBorders>
              <w:top w:val="nil"/>
              <w:bottom w:val="single" w:sz="6" w:space="0" w:color="auto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</w:rPr>
      </w:pPr>
      <w:r>
        <w:rPr>
          <w:b/>
          <w:bCs/>
        </w:rPr>
        <w:t>Approbation du Gouvernement de la Communauté française du 19 juillet 2016,</w:t>
      </w:r>
    </w:p>
    <w:p>
      <w:pPr>
        <w:jc w:val="center"/>
        <w:rPr>
          <w:b/>
          <w:bCs/>
        </w:rPr>
      </w:pPr>
      <w:r>
        <w:rPr>
          <w:b/>
          <w:bCs/>
        </w:rPr>
        <w:t>sur avis conforme du Conseil général</w:t>
      </w:r>
    </w:p>
    <w:p>
      <w: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C2D - Mathématiques : Niveau 2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enseignement SECONDAIRE SUPERIEUR DE TRANSITION</w:t>
            </w:r>
          </w:p>
          <w:p>
            <w:pPr>
              <w:jc w:val="center"/>
              <w:rPr>
                <w:b/>
                <w:caps/>
              </w:rPr>
            </w:pPr>
          </w:p>
          <w:p>
            <w:pPr>
              <w:rPr>
                <w:b/>
                <w:sz w:val="28"/>
              </w:rPr>
            </w:pPr>
          </w:p>
        </w:tc>
      </w:tr>
    </w:tbl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>
      <w:pPr>
        <w:spacing w:after="120"/>
        <w:ind w:left="851"/>
        <w:jc w:val="both"/>
        <w:rPr>
          <w:rFonts w:eastAsiaTheme="minorHAnsi"/>
        </w:rPr>
      </w:pPr>
      <w:bookmarkStart w:id="1" w:name="FIP"/>
      <w:bookmarkEnd w:id="1"/>
      <w:r>
        <w:rPr>
          <w:sz w:val="22"/>
        </w:rPr>
        <w:t>Cette unité d'enseignement vise à permettre à l’étudiant de maîtriser des notions relatives à la statistique descriptive, à la géométrie plane et dans l’espace, à la trigonométrie, aux fonctions associées et au second degré et conjointement :</w:t>
      </w:r>
    </w:p>
    <w:p>
      <w:pPr>
        <w:widowControl w:val="0"/>
        <w:numPr>
          <w:ilvl w:val="0"/>
          <w:numId w:val="5"/>
        </w:numPr>
        <w:tabs>
          <w:tab w:val="clear" w:pos="4041"/>
          <w:tab w:val="num" w:pos="1134"/>
          <w:tab w:val="num" w:pos="1494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de se sensibiliser</w:t>
      </w:r>
      <w:r>
        <w:rPr>
          <w:color w:val="FF0000"/>
          <w:sz w:val="22"/>
        </w:rPr>
        <w:t xml:space="preserve"> </w:t>
      </w:r>
      <w:r>
        <w:rPr>
          <w:sz w:val="22"/>
        </w:rPr>
        <w:t>à l’utilité des mathématiques ;</w:t>
      </w:r>
    </w:p>
    <w:p>
      <w:pPr>
        <w:widowControl w:val="0"/>
        <w:numPr>
          <w:ilvl w:val="0"/>
          <w:numId w:val="5"/>
        </w:numPr>
        <w:tabs>
          <w:tab w:val="clear" w:pos="4041"/>
          <w:tab w:val="num" w:pos="1134"/>
          <w:tab w:val="num" w:pos="1494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de s’initier</w:t>
      </w:r>
      <w:r>
        <w:rPr>
          <w:color w:val="FF0000"/>
          <w:sz w:val="22"/>
        </w:rPr>
        <w:t xml:space="preserve"> </w:t>
      </w:r>
      <w:r>
        <w:rPr>
          <w:sz w:val="22"/>
        </w:rPr>
        <w:t>à la démarche scientifique ainsi qu’à la stratégie de résolution d’un problème;</w:t>
      </w:r>
    </w:p>
    <w:p>
      <w:pPr>
        <w:widowControl w:val="0"/>
        <w:numPr>
          <w:ilvl w:val="0"/>
          <w:numId w:val="5"/>
        </w:numPr>
        <w:tabs>
          <w:tab w:val="clear" w:pos="4041"/>
          <w:tab w:val="num" w:pos="1134"/>
          <w:tab w:val="num" w:pos="1494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de rechercher et de traiter l’information en développant un esprit critique ;</w:t>
      </w:r>
    </w:p>
    <w:p>
      <w:pPr>
        <w:widowControl w:val="0"/>
        <w:numPr>
          <w:ilvl w:val="0"/>
          <w:numId w:val="5"/>
        </w:numPr>
        <w:tabs>
          <w:tab w:val="clear" w:pos="4041"/>
          <w:tab w:val="num" w:pos="1134"/>
          <w:tab w:val="num" w:pos="1494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de mettre en évidence les apports des diverses cultures au développement des mathématiques et par voie de conséquence, à l’évolution scientifique.</w:t>
      </w:r>
    </w:p>
    <w:p>
      <w:pPr>
        <w:pStyle w:val="Paragraphedeliste"/>
        <w:rPr>
          <w:sz w:val="22"/>
          <w:szCs w:val="22"/>
        </w:rPr>
      </w:pPr>
    </w:p>
    <w:p>
      <w:pPr>
        <w:pStyle w:val="Paragraphedeliste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>
      <w:pPr>
        <w:tabs>
          <w:tab w:val="left" w:pos="-720"/>
          <w:tab w:val="left" w:pos="851"/>
        </w:tabs>
        <w:ind w:left="426"/>
        <w:jc w:val="both"/>
        <w:rPr>
          <w:sz w:val="22"/>
          <w:szCs w:val="22"/>
        </w:rPr>
      </w:pPr>
    </w:p>
    <w:p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démontrer des théorèmes des propriétés géométriques ;</w:t>
      </w:r>
    </w:p>
    <w:p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utiliser des propriétés du triangle rectangle pour résoudre des problèmes de calcul ou de construction ;</w:t>
      </w:r>
    </w:p>
    <w:p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rechercher des informations sur des fonctions à partir de leur représentation graphique ;</w:t>
      </w:r>
    </w:p>
    <w:p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utiliser les fonctions du 1er degré pour modéliser une situation ou traiter un problème ;</w:t>
      </w:r>
    </w:p>
    <w:p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maîtriser des outils algébriques (système d’équations, polynômes) pour résoudre des problèmes.</w:t>
      </w:r>
    </w:p>
    <w:p>
      <w:pPr>
        <w:ind w:left="425"/>
        <w:rPr>
          <w:sz w:val="22"/>
          <w:szCs w:val="22"/>
        </w:rPr>
      </w:pPr>
    </w:p>
    <w:p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pStyle w:val="NormalWeb"/>
        <w:spacing w:before="0" w:beforeAutospacing="0" w:after="0" w:afterAutospacing="0"/>
        <w:ind w:left="851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t>Attestation de réussite de l'UE "C2D - Mathématiques : Niveau1" – code  01 11 20 U11 D1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>
      <w:pPr>
        <w:ind w:left="283" w:hanging="283"/>
        <w:jc w:val="both"/>
        <w:rPr>
          <w:b/>
          <w:sz w:val="22"/>
        </w:rPr>
      </w:pPr>
    </w:p>
    <w:p>
      <w:pPr>
        <w:pStyle w:val="Retraitcorpsdetexte"/>
        <w:spacing w:after="0"/>
        <w:ind w:firstLine="1"/>
        <w:jc w:val="both"/>
        <w:rPr>
          <w:i/>
          <w:sz w:val="22"/>
        </w:rPr>
      </w:pPr>
      <w:r>
        <w:rPr>
          <w:i/>
          <w:sz w:val="22"/>
        </w:rPr>
        <w:t xml:space="preserve">A partir de situations concrètes de la vie courante, </w:t>
      </w:r>
    </w:p>
    <w:p>
      <w:pPr>
        <w:adjustRightInd w:val="0"/>
        <w:ind w:firstLine="283"/>
        <w:rPr>
          <w:rFonts w:eastAsia="Calibri"/>
          <w:i/>
          <w:sz w:val="22"/>
        </w:rPr>
      </w:pPr>
      <w:r>
        <w:rPr>
          <w:i/>
          <w:iCs/>
          <w:sz w:val="22"/>
          <w:szCs w:val="22"/>
        </w:rPr>
        <w:t xml:space="preserve">en </w:t>
      </w:r>
      <w:r>
        <w:rPr>
          <w:rFonts w:eastAsia="Calibri"/>
          <w:i/>
          <w:sz w:val="22"/>
        </w:rPr>
        <w:t>utilisant la terminologie scientifique,</w:t>
      </w:r>
    </w:p>
    <w:p>
      <w:pPr>
        <w:ind w:left="284"/>
        <w:jc w:val="both"/>
        <w:rPr>
          <w:b/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pour atteindre le seuil de réussite, l’étudiant sera capable</w:t>
      </w:r>
      <w:r>
        <w:rPr>
          <w:sz w:val="22"/>
          <w:szCs w:val="22"/>
        </w:rPr>
        <w:t>,</w:t>
      </w:r>
    </w:p>
    <w:p>
      <w:pPr>
        <w:jc w:val="both"/>
      </w:pP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 xml:space="preserve">à partir d’informations collectées dans les médias, de résultats de simulations ou d’expériences, </w:t>
      </w:r>
    </w:p>
    <w:p>
      <w:pPr>
        <w:numPr>
          <w:ilvl w:val="1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réaliser une représentation graphique pertinente ;</w:t>
      </w:r>
    </w:p>
    <w:p>
      <w:pPr>
        <w:numPr>
          <w:ilvl w:val="1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déterminer des paramètres (indicateurs) utiles pour analyser une situation donnée ;</w:t>
      </w:r>
    </w:p>
    <w:p>
      <w:pPr>
        <w:numPr>
          <w:ilvl w:val="1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d’interpréter et relativiser la portée d’informations numériques ou graphiques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 xml:space="preserve">de reconnaître des objets dans l’espace à partir de leurs représentations planes ; 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construire et de justifier la représentation plane d’un objet 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résoudre des problèmes en utilisant des outils de trigonométrie 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construire, par manipulation de graphes, une fonction associée à une fonction de référence 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d’associer graphiques et expressions analytiques de fonctions du second degré et de résoudre divers problèmes dont ceux d’optimisation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résoudre des problèmes géométriques en utilisant des outils vectoriels.</w:t>
      </w:r>
    </w:p>
    <w:p>
      <w:pPr>
        <w:spacing w:after="240"/>
        <w:ind w:left="360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ind w:left="284"/>
        <w:jc w:val="both"/>
        <w:rPr>
          <w:b/>
          <w:sz w:val="22"/>
        </w:rPr>
      </w:pP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le degré de rigueur et de cohérence,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le degré de précision du vocabulaire utilisé.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lastRenderedPageBreak/>
        <w:t>PROGRAMME</w:t>
      </w:r>
    </w:p>
    <w:p>
      <w:pPr>
        <w:rPr>
          <w:b/>
          <w:sz w:val="22"/>
        </w:rPr>
      </w:pPr>
    </w:p>
    <w:p>
      <w:pPr>
        <w:pStyle w:val="Retraitcorpsdetexte"/>
        <w:spacing w:after="0"/>
        <w:ind w:left="426"/>
        <w:jc w:val="both"/>
        <w:rPr>
          <w:i/>
          <w:sz w:val="22"/>
        </w:rPr>
      </w:pPr>
      <w:r>
        <w:rPr>
          <w:i/>
          <w:sz w:val="22"/>
        </w:rPr>
        <w:t xml:space="preserve">A partir de situations concrètes de la vie courante, </w:t>
      </w:r>
    </w:p>
    <w:p>
      <w:pPr>
        <w:suppressAutoHyphens w:val="0"/>
        <w:spacing w:line="276" w:lineRule="auto"/>
        <w:ind w:left="426"/>
        <w:rPr>
          <w:i/>
          <w:sz w:val="22"/>
        </w:rPr>
      </w:pPr>
      <w:r>
        <w:rPr>
          <w:i/>
          <w:sz w:val="22"/>
        </w:rPr>
        <w:t>en sensibilisant à la démarche scientifique,</w:t>
      </w:r>
    </w:p>
    <w:p>
      <w:pPr>
        <w:suppressAutoHyphens w:val="0"/>
        <w:spacing w:line="276" w:lineRule="auto"/>
        <w:ind w:left="426"/>
        <w:rPr>
          <w:i/>
          <w:color w:val="000000"/>
          <w:sz w:val="22"/>
          <w:szCs w:val="22"/>
          <w:lang w:eastAsia="fr-FR"/>
        </w:rPr>
      </w:pPr>
      <w:r>
        <w:rPr>
          <w:i/>
          <w:sz w:val="22"/>
        </w:rPr>
        <w:t xml:space="preserve">en mettant en évidence les </w:t>
      </w:r>
      <w:r>
        <w:rPr>
          <w:i/>
          <w:color w:val="000000"/>
          <w:sz w:val="22"/>
          <w:szCs w:val="22"/>
          <w:lang w:eastAsia="fr-FR"/>
        </w:rPr>
        <w:t xml:space="preserve"> apports des diverses cultures au développement des mathématiques et, par voie de conséquence, à l’évolution scientifique,</w:t>
      </w:r>
    </w:p>
    <w:p>
      <w:pPr>
        <w:suppressAutoHyphens w:val="0"/>
        <w:spacing w:line="276" w:lineRule="auto"/>
        <w:ind w:left="426"/>
        <w:rPr>
          <w:bCs/>
          <w:i/>
          <w:sz w:val="22"/>
          <w:szCs w:val="22"/>
          <w:lang w:val="fr-BE" w:eastAsia="en-US"/>
        </w:rPr>
      </w:pPr>
      <w:r>
        <w:rPr>
          <w:i/>
          <w:color w:val="000000"/>
          <w:sz w:val="22"/>
          <w:szCs w:val="22"/>
          <w:lang w:eastAsia="fr-FR"/>
        </w:rPr>
        <w:t xml:space="preserve">en recourant  à l’outil informatique, </w:t>
      </w:r>
    </w:p>
    <w:p>
      <w:pPr>
        <w:pStyle w:val="Retraitcorpsdetexte"/>
        <w:spacing w:after="0"/>
        <w:ind w:left="426"/>
        <w:rPr>
          <w:i/>
          <w:sz w:val="22"/>
        </w:rPr>
      </w:pPr>
    </w:p>
    <w:p>
      <w:pPr>
        <w:tabs>
          <w:tab w:val="left" w:pos="426"/>
        </w:tabs>
        <w:ind w:left="42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l’étudiant sera capable :</w:t>
      </w:r>
    </w:p>
    <w:p>
      <w:pPr>
        <w:widowControl w:val="0"/>
        <w:suppressAutoHyphens w:val="0"/>
        <w:autoSpaceDE w:val="0"/>
        <w:autoSpaceDN w:val="0"/>
        <w:adjustRightInd w:val="0"/>
        <w:spacing w:before="1" w:beforeAutospacing="1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t>Statistique descriptive</w:t>
      </w:r>
    </w:p>
    <w:p>
      <w:pPr>
        <w:tabs>
          <w:tab w:val="left" w:pos="426"/>
        </w:tabs>
        <w:ind w:left="426"/>
        <w:jc w:val="both"/>
        <w:rPr>
          <w:bCs/>
          <w:iCs/>
          <w:sz w:val="22"/>
          <w:szCs w:val="22"/>
        </w:rPr>
      </w:pP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de calculer ou d’estimer des paramètres de position (valeurs centrales) et d’en interpréter la signification : moyenne arithmétique, médiane, quartiles, mode et classes modales ;</w:t>
      </w: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de calculer ou d’estimer les paramètres de dispersion et d’en interpréter la signification : étendue, écart moyen, écart moyen absolu, variance, écart type et intervalles interquartiles ;</w:t>
      </w: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d’organiser les données afin de réaliser un tableau statistique ;</w:t>
      </w: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de construire des graphiques statistiques à partir d’expériences réalisées au laboratoire ou d’informations collectées ;</w:t>
      </w:r>
    </w:p>
    <w:p>
      <w:pPr>
        <w:widowControl w:val="0"/>
        <w:suppressAutoHyphens w:val="0"/>
        <w:autoSpaceDE w:val="0"/>
        <w:autoSpaceDN w:val="0"/>
        <w:adjustRightInd w:val="0"/>
        <w:spacing w:before="1" w:beforeAutospacing="1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t>Géométrie dans l’espace</w:t>
      </w:r>
    </w:p>
    <w:p>
      <w:pPr>
        <w:ind w:left="284"/>
        <w:jc w:val="both"/>
        <w:rPr>
          <w:bCs/>
          <w:iCs/>
          <w:sz w:val="22"/>
          <w:szCs w:val="22"/>
        </w:rPr>
      </w:pP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de représenter des objets dans l’espace en perspective cavalière ;</w:t>
      </w: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de construire une section plane dans un solide ;</w:t>
      </w: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de construire et justifier un point de percée d’une droite et d’un plan ;</w:t>
      </w: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de construire l’ombre d’un objet ;</w:t>
      </w: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de dégager des constructions mathématiques dans une œuvre d’art ;</w:t>
      </w:r>
    </w:p>
    <w:p>
      <w:pPr>
        <w:widowControl w:val="0"/>
        <w:suppressAutoHyphens w:val="0"/>
        <w:autoSpaceDE w:val="0"/>
        <w:autoSpaceDN w:val="0"/>
        <w:adjustRightInd w:val="0"/>
        <w:spacing w:before="1" w:beforeAutospacing="1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t>Trigonométrie</w:t>
      </w:r>
    </w:p>
    <w:p>
      <w:pPr>
        <w:ind w:left="284"/>
        <w:rPr>
          <w:b/>
          <w:sz w:val="22"/>
        </w:rPr>
      </w:pP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d’utiliser le cercle trigonométrique pour y représenter des angles et leurs nombres trigonométriques 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calculer, à l’aide de la calculatrice, l’amplitude d’un angle (en degré et en radian), la longueur d’un côté d’un triangle, l’aire d’un triangle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démontrer les théorèmes des sinus, d’Al Kashi, de l’aire d’un triangle quelconque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d’utiliser les relations trigonométriques pour traiter diverses applications en géométrie, physique, topographie, astronomie (calcul d’une distance inaccessible, non mesurable) ;</w:t>
      </w:r>
    </w:p>
    <w:p>
      <w:pPr>
        <w:suppressAutoHyphens w:val="0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br w:type="page"/>
      </w:r>
    </w:p>
    <w:p>
      <w:pPr>
        <w:widowControl w:val="0"/>
        <w:suppressAutoHyphens w:val="0"/>
        <w:autoSpaceDE w:val="0"/>
        <w:autoSpaceDN w:val="0"/>
        <w:adjustRightInd w:val="0"/>
        <w:spacing w:before="1" w:beforeAutospacing="1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lastRenderedPageBreak/>
        <w:t>Fonctions associées</w:t>
      </w:r>
    </w:p>
    <w:p>
      <w:pPr>
        <w:ind w:left="284"/>
        <w:rPr>
          <w:b/>
          <w:sz w:val="22"/>
        </w:rPr>
      </w:pP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 xml:space="preserve">d’identifier la relation de réciprocité qui unit les fonctions </w:t>
      </w:r>
      <w:r>
        <w:rPr>
          <w:rFonts w:ascii="Calibri" w:hAnsi="Calibri"/>
          <w:bCs/>
          <w:position w:val="-6"/>
          <w:lang w:val="fr-BE" w:eastAsia="en-US"/>
        </w:rPr>
        <w:object w:dxaOrig="7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pt" o:ole="">
            <v:imagedata r:id="rId8" o:title=""/>
          </v:shape>
          <o:OLEObject Type="Embed" ProgID="Equation.DSMT4" ShapeID="_x0000_i1025" DrawAspect="Content" ObjectID="_1618326826" r:id="rId9"/>
        </w:object>
      </w:r>
      <w:r>
        <w:rPr>
          <w:bCs/>
        </w:rPr>
        <w:fldChar w:fldCharType="begin"/>
      </w:r>
      <w:r>
        <w:rPr>
          <w:bCs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Calibri"/>
          </w:rPr>
          <m:t>x→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p>
        </m:sSup>
      </m:oMath>
      <w:r>
        <w:rPr>
          <w:bCs/>
        </w:rPr>
        <w:fldChar w:fldCharType="end"/>
      </w:r>
      <w:r>
        <w:rPr>
          <w:bCs/>
          <w:i/>
          <w:iCs/>
        </w:rPr>
        <w:t xml:space="preserve">et </w:t>
      </w:r>
      <w:r>
        <w:rPr>
          <w:bCs/>
          <w:iCs/>
        </w:rPr>
        <w:fldChar w:fldCharType="begin"/>
      </w:r>
      <w:r>
        <w:rPr>
          <w:bCs/>
          <w:iCs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Calibri"/>
          </w:rPr>
          <m:t>x→</m:t>
        </m:r>
        <m:rad>
          <m:radPr>
            <m:degHide m:val="1"/>
            <m:ctrlPr>
              <w:rPr>
                <w:rFonts w:ascii="Cambria Math" w:hAnsi="Cambria Math" w:cs="Calibri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libri"/>
              </w:rPr>
              <m:t>x</m:t>
            </m:r>
          </m:e>
        </m:rad>
      </m:oMath>
      <w:r>
        <w:rPr>
          <w:bCs/>
          <w:iCs/>
        </w:rPr>
        <w:fldChar w:fldCharType="separate"/>
      </w:r>
      <w:r>
        <w:rPr>
          <w:rFonts w:ascii="Calibri" w:hAnsi="Calibri"/>
          <w:bCs/>
          <w:iCs/>
          <w:position w:val="-8"/>
          <w:lang w:val="fr-BE" w:eastAsia="en-US"/>
        </w:rPr>
        <w:object w:dxaOrig="780" w:dyaOrig="360">
          <v:shape id="_x0000_i1026" type="#_x0000_t75" style="width:39.6pt;height:18.6pt" o:ole="">
            <v:imagedata r:id="rId10" o:title=""/>
          </v:shape>
          <o:OLEObject Type="Embed" ProgID="Equation.DSMT4" ShapeID="_x0000_i1026" DrawAspect="Content" ObjectID="_1618326827" r:id="rId11"/>
        </w:object>
      </w:r>
      <w:r>
        <w:rPr>
          <w:bCs/>
          <w:iCs/>
        </w:rPr>
        <w:fldChar w:fldCharType="end"/>
      </w:r>
      <w:r>
        <w:rPr>
          <w:bCs/>
          <w:i/>
          <w:iCs/>
        </w:rPr>
        <w:t xml:space="preserve">, </w:t>
      </w:r>
      <w:r>
        <w:rPr>
          <w:rFonts w:ascii="Calibri" w:hAnsi="Calibri"/>
          <w:bCs/>
          <w:i/>
          <w:iCs/>
          <w:position w:val="-6"/>
          <w:lang w:val="fr-BE" w:eastAsia="en-US"/>
        </w:rPr>
        <w:object w:dxaOrig="720" w:dyaOrig="300">
          <v:shape id="_x0000_i1027" type="#_x0000_t75" style="width:36pt;height:15pt" o:ole="">
            <v:imagedata r:id="rId12" o:title=""/>
          </v:shape>
          <o:OLEObject Type="Embed" ProgID="Equation.DSMT4" ShapeID="_x0000_i1027" DrawAspect="Content" ObjectID="_1618326828" r:id="rId13"/>
        </w:object>
      </w:r>
      <w:r>
        <w:rPr>
          <w:bCs/>
        </w:rPr>
        <w:fldChar w:fldCharType="begin"/>
      </w:r>
      <w:r>
        <w:rPr>
          <w:bCs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Calibri"/>
          </w:rPr>
          <m:t>x→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p>
        </m:sSup>
      </m:oMath>
      <w:r>
        <w:rPr>
          <w:bCs/>
        </w:rPr>
        <w:fldChar w:fldCharType="end"/>
      </w:r>
      <w:r>
        <w:rPr>
          <w:bCs/>
          <w:i/>
          <w:iCs/>
        </w:rPr>
        <w:t xml:space="preserve">et </w:t>
      </w:r>
      <w:r>
        <w:rPr>
          <w:rFonts w:ascii="Calibri" w:hAnsi="Calibri"/>
          <w:bCs/>
          <w:i/>
          <w:iCs/>
          <w:position w:val="-8"/>
          <w:lang w:val="fr-BE" w:eastAsia="en-US"/>
        </w:rPr>
        <w:object w:dxaOrig="780" w:dyaOrig="360">
          <v:shape id="_x0000_i1028" type="#_x0000_t75" style="width:39.6pt;height:18.6pt" o:ole="">
            <v:imagedata r:id="rId14" o:title=""/>
          </v:shape>
          <o:OLEObject Type="Embed" ProgID="Equation.DSMT4" ShapeID="_x0000_i1028" DrawAspect="Content" ObjectID="_1618326829" r:id="rId15"/>
        </w:object>
      </w:r>
      <w:r>
        <w:rPr>
          <w:rFonts w:ascii="Calibri" w:hAnsi="Calibri"/>
          <w:bCs/>
          <w:i/>
          <w:iCs/>
          <w:position w:val="-8"/>
          <w:lang w:val="fr-BE" w:eastAsia="en-US"/>
        </w:rPr>
        <w:t> </w:t>
      </w:r>
      <w:r>
        <w:rPr>
          <w:bCs/>
          <w:iCs/>
          <w:position w:val="-8"/>
          <w:sz w:val="22"/>
          <w:szCs w:val="22"/>
          <w:lang w:val="fr-BE" w:eastAsia="en-US"/>
        </w:rPr>
        <w:t>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tracer le graphique d’une fonction associée à partir de fonctions de référence, d’en formuler une expression analytique et d'en justifier les manipulations appliquées 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 xml:space="preserve">de résoudre algébriquement et graphiquement des équations du type </w:t>
      </w:r>
      <w:r>
        <w:rPr>
          <w:i/>
          <w:sz w:val="22"/>
        </w:rPr>
        <w:t>g(x)=a</w:t>
      </w:r>
      <w:r>
        <w:rPr>
          <w:sz w:val="22"/>
        </w:rPr>
        <w:t xml:space="preserve"> où </w:t>
      </w:r>
      <w:r>
        <w:rPr>
          <w:i/>
          <w:sz w:val="22"/>
        </w:rPr>
        <w:t>g</w:t>
      </w:r>
      <w:r>
        <w:rPr>
          <w:sz w:val="22"/>
        </w:rPr>
        <w:t xml:space="preserve"> est une fonction associée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modéliser une situation à l’aide d’une fonction associée afin d’en tirer des informations pertinentes ;</w:t>
      </w:r>
    </w:p>
    <w:p>
      <w:pPr>
        <w:widowControl w:val="0"/>
        <w:suppressAutoHyphens w:val="0"/>
        <w:autoSpaceDE w:val="0"/>
        <w:autoSpaceDN w:val="0"/>
        <w:adjustRightInd w:val="0"/>
        <w:spacing w:before="1" w:beforeAutospacing="1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t>Deuxième degré</w:t>
      </w:r>
    </w:p>
    <w:p>
      <w:pPr>
        <w:ind w:left="284"/>
        <w:rPr>
          <w:b/>
          <w:sz w:val="22"/>
        </w:rPr>
      </w:pP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résoudre graphiquement et algébriquement une équation ou une inéquation du 2e degré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d’associer l’expression analytique d’une fonction du 2e degré à son graphique et réciproquement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construire l’expression analytique d’une fonction du 2e degré à partir de son graphique et réciproquement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déterminer les caractéristiques d’une fonction du 2e degré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déterminer l’expression analytique d’une fonction du 2e degré répondant à des conditions données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lier les diverses écritures de la fonction du 2e degré avec certaines caractéristiques de la fonction ou de son graphique :</w:t>
      </w:r>
    </w:p>
    <w:p>
      <w:pPr>
        <w:spacing w:after="240"/>
        <w:ind w:left="1416"/>
        <w:jc w:val="both"/>
        <w:rPr>
          <w:sz w:val="22"/>
        </w:rPr>
      </w:pPr>
      <w:r>
        <w:rPr>
          <w:sz w:val="22"/>
        </w:rPr>
        <w:object w:dxaOrig="1650" w:dyaOrig="360">
          <v:shape id="_x0000_i1029" type="#_x0000_t75" style="width:82.8pt;height:18.6pt" o:ole="">
            <v:imagedata r:id="rId16" o:title=""/>
          </v:shape>
          <o:OLEObject Type="Embed" ProgID="Equation.DSMT4" ShapeID="_x0000_i1029" DrawAspect="Content" ObjectID="_1618326830" r:id="rId17"/>
        </w:object>
      </w:r>
      <w:r>
        <w:rPr>
          <w:sz w:val="22"/>
        </w:rPr>
        <w:fldChar w:fldCharType="begin"/>
      </w:r>
      <w:r>
        <w:rPr>
          <w:sz w:val="22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2"/>
          </w:rPr>
          <m:t>x→a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x-α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</w:rPr>
          <m:t xml:space="preserve">+β </m:t>
        </m:r>
      </m:oMath>
      <w:r>
        <w:rPr>
          <w:sz w:val="22"/>
        </w:rPr>
        <w:fldChar w:fldCharType="end"/>
      </w:r>
    </w:p>
    <w:p>
      <w:pPr>
        <w:spacing w:after="240"/>
        <w:ind w:left="1416"/>
        <w:jc w:val="both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2"/>
          </w:rPr>
          <m:t>x→a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</w:rPr>
          <m:t>+bx+c</m:t>
        </m:r>
      </m:oMath>
      <w:r>
        <w:rPr>
          <w:sz w:val="22"/>
        </w:rPr>
        <w:fldChar w:fldCharType="separate"/>
      </w:r>
      <w:r>
        <w:rPr>
          <w:sz w:val="22"/>
        </w:rPr>
        <w:object w:dxaOrig="1485" w:dyaOrig="300">
          <v:shape id="_x0000_i1030" type="#_x0000_t75" style="width:73.8pt;height:15pt" o:ole="">
            <v:imagedata r:id="rId18" o:title=""/>
          </v:shape>
          <o:OLEObject Type="Embed" ProgID="Equation.DSMT4" ShapeID="_x0000_i1030" DrawAspect="Content" ObjectID="_1618326831" r:id="rId19"/>
        </w:object>
      </w:r>
      <w:r>
        <w:rPr>
          <w:sz w:val="22"/>
        </w:rPr>
        <w:fldChar w:fldCharType="end"/>
      </w:r>
      <w:r>
        <w:rPr>
          <w:sz w:val="22"/>
        </w:rPr>
        <w:t> </w:t>
      </w:r>
    </w:p>
    <w:p>
      <w:pPr>
        <w:spacing w:after="240"/>
        <w:ind w:left="1416"/>
        <w:jc w:val="both"/>
        <w:rPr>
          <w:sz w:val="22"/>
        </w:rPr>
      </w:pPr>
      <w:r>
        <w:rPr>
          <w:sz w:val="22"/>
        </w:rPr>
        <w:object w:dxaOrig="1905" w:dyaOrig="360">
          <v:shape id="_x0000_i1031" type="#_x0000_t75" style="width:94.8pt;height:18.6pt" o:ole="">
            <v:imagedata r:id="rId20" o:title=""/>
          </v:shape>
          <o:OLEObject Type="Embed" ProgID="Equation.DSMT4" ShapeID="_x0000_i1031" DrawAspect="Content" ObjectID="_1618326832" r:id="rId21"/>
        </w:objec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d’interpréter graphiquement les solutions d’une équation ou d’une inéquation du 2e degré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modéliser et résoudre un problème d’optimisation ou issu de situations diverses (physique, économie, géométrie, …) ;</w:t>
      </w:r>
    </w:p>
    <w:p>
      <w:pPr>
        <w:suppressAutoHyphens w:val="0"/>
        <w:rPr>
          <w:b/>
          <w:color w:val="000000"/>
          <w:sz w:val="22"/>
          <w:szCs w:val="22"/>
          <w:lang w:eastAsia="fr-FR"/>
        </w:rPr>
      </w:pPr>
    </w:p>
    <w:p>
      <w:pPr>
        <w:suppressAutoHyphens w:val="0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br w:type="page"/>
      </w:r>
    </w:p>
    <w:p>
      <w:pPr>
        <w:widowControl w:val="0"/>
        <w:suppressAutoHyphens w:val="0"/>
        <w:autoSpaceDE w:val="0"/>
        <w:autoSpaceDN w:val="0"/>
        <w:adjustRightInd w:val="0"/>
        <w:spacing w:before="1" w:beforeAutospacing="1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lastRenderedPageBreak/>
        <w:t>Géométrie analytique plane</w:t>
      </w:r>
    </w:p>
    <w:p>
      <w:pPr>
        <w:ind w:left="284"/>
        <w:rPr>
          <w:b/>
          <w:sz w:val="22"/>
        </w:rPr>
      </w:pPr>
    </w:p>
    <w:p>
      <w:pPr>
        <w:numPr>
          <w:ilvl w:val="0"/>
          <w:numId w:val="8"/>
        </w:numPr>
        <w:tabs>
          <w:tab w:val="num" w:pos="644"/>
        </w:tabs>
        <w:spacing w:after="240"/>
        <w:jc w:val="both"/>
        <w:rPr>
          <w:sz w:val="22"/>
        </w:rPr>
      </w:pPr>
      <w:r>
        <w:rPr>
          <w:sz w:val="22"/>
        </w:rPr>
        <w:t>de représenter un vecteur et un multiple de vecteur(s) ;</w:t>
      </w:r>
    </w:p>
    <w:p>
      <w:pPr>
        <w:numPr>
          <w:ilvl w:val="0"/>
          <w:numId w:val="8"/>
        </w:numPr>
        <w:tabs>
          <w:tab w:val="num" w:pos="644"/>
        </w:tabs>
        <w:spacing w:after="240"/>
        <w:jc w:val="both"/>
        <w:rPr>
          <w:sz w:val="22"/>
        </w:rPr>
      </w:pPr>
      <w:r>
        <w:rPr>
          <w:sz w:val="22"/>
        </w:rPr>
        <w:t>de construire la somme de deux vecteurs ;</w:t>
      </w:r>
    </w:p>
    <w:p>
      <w:pPr>
        <w:numPr>
          <w:ilvl w:val="0"/>
          <w:numId w:val="8"/>
        </w:numPr>
        <w:tabs>
          <w:tab w:val="num" w:pos="644"/>
        </w:tabs>
        <w:spacing w:after="240"/>
        <w:jc w:val="both"/>
        <w:rPr>
          <w:sz w:val="22"/>
        </w:rPr>
      </w:pPr>
      <w:r>
        <w:rPr>
          <w:sz w:val="22"/>
        </w:rPr>
        <w:t>de calculer un produit scalaire ;</w:t>
      </w:r>
    </w:p>
    <w:p>
      <w:pPr>
        <w:numPr>
          <w:ilvl w:val="0"/>
          <w:numId w:val="8"/>
        </w:numPr>
        <w:tabs>
          <w:tab w:val="num" w:pos="644"/>
        </w:tabs>
        <w:spacing w:after="240"/>
        <w:jc w:val="both"/>
        <w:rPr>
          <w:sz w:val="22"/>
        </w:rPr>
      </w:pPr>
      <w:r>
        <w:rPr>
          <w:sz w:val="22"/>
        </w:rPr>
        <w:t>de décomposer un vecteur selon deux directions données ;</w:t>
      </w:r>
    </w:p>
    <w:p>
      <w:pPr>
        <w:numPr>
          <w:ilvl w:val="0"/>
          <w:numId w:val="8"/>
        </w:numPr>
        <w:tabs>
          <w:tab w:val="num" w:pos="644"/>
        </w:tabs>
        <w:spacing w:after="240"/>
        <w:jc w:val="both"/>
        <w:rPr>
          <w:sz w:val="22"/>
        </w:rPr>
      </w:pPr>
      <w:r>
        <w:rPr>
          <w:sz w:val="22"/>
        </w:rPr>
        <w:t>de rechercher les équations vectorielle et cartésienne d’une droite ;</w:t>
      </w:r>
    </w:p>
    <w:p>
      <w:pPr>
        <w:numPr>
          <w:ilvl w:val="0"/>
          <w:numId w:val="8"/>
        </w:numPr>
        <w:tabs>
          <w:tab w:val="num" w:pos="644"/>
        </w:tabs>
        <w:spacing w:after="240"/>
        <w:jc w:val="both"/>
        <w:rPr>
          <w:sz w:val="22"/>
        </w:rPr>
      </w:pPr>
      <w:r>
        <w:rPr>
          <w:sz w:val="22"/>
        </w:rPr>
        <w:t>de rechercher l’équation d’une droite comprenant deux points ou comprenant un point et de direction donnée ;</w:t>
      </w:r>
    </w:p>
    <w:p>
      <w:pPr>
        <w:numPr>
          <w:ilvl w:val="0"/>
          <w:numId w:val="8"/>
        </w:numPr>
        <w:tabs>
          <w:tab w:val="num" w:pos="644"/>
        </w:tabs>
        <w:spacing w:after="240"/>
        <w:jc w:val="both"/>
        <w:rPr>
          <w:sz w:val="22"/>
        </w:rPr>
      </w:pPr>
      <w:r>
        <w:rPr>
          <w:sz w:val="22"/>
        </w:rPr>
        <w:t>de résoudre un problème de géométrie analytique plane (intersection, construction …) ;</w:t>
      </w:r>
    </w:p>
    <w:p>
      <w:pPr>
        <w:numPr>
          <w:ilvl w:val="0"/>
          <w:numId w:val="8"/>
        </w:numPr>
        <w:tabs>
          <w:tab w:val="num" w:pos="644"/>
        </w:tabs>
        <w:spacing w:after="240"/>
        <w:jc w:val="both"/>
        <w:rPr>
          <w:sz w:val="22"/>
        </w:rPr>
      </w:pPr>
      <w:r>
        <w:rPr>
          <w:sz w:val="22"/>
        </w:rPr>
        <w:t>de rechercher les coordonnées de points d’intersection de droites remarquables d’un triangle en limitant la technicité ou en utilisant l’outil informatique ;</w:t>
      </w:r>
    </w:p>
    <w:p>
      <w:pPr>
        <w:numPr>
          <w:ilvl w:val="0"/>
          <w:numId w:val="8"/>
        </w:numPr>
        <w:tabs>
          <w:tab w:val="num" w:pos="644"/>
        </w:tabs>
        <w:spacing w:after="240"/>
        <w:jc w:val="both"/>
        <w:rPr>
          <w:sz w:val="22"/>
        </w:rPr>
      </w:pPr>
      <w:r>
        <w:rPr>
          <w:sz w:val="22"/>
        </w:rPr>
        <w:t>d’associer un lieu à son expression analytique.</w:t>
      </w:r>
    </w:p>
    <w:p>
      <w:pPr>
        <w:tabs>
          <w:tab w:val="num" w:pos="1134"/>
        </w:tabs>
        <w:jc w:val="both"/>
        <w:rPr>
          <w:b/>
          <w:sz w:val="22"/>
        </w:rPr>
      </w:pPr>
    </w:p>
    <w:p>
      <w:pPr>
        <w:tabs>
          <w:tab w:val="num" w:pos="1134"/>
        </w:tabs>
        <w:jc w:val="both"/>
        <w:rPr>
          <w:b/>
          <w:sz w:val="22"/>
        </w:rPr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jc w:val="both"/>
        <w:rPr>
          <w:b/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tabs>
          <w:tab w:val="left" w:pos="-720"/>
        </w:tabs>
        <w:ind w:left="284"/>
        <w:jc w:val="both"/>
        <w:rPr>
          <w:sz w:val="22"/>
        </w:rPr>
      </w:pPr>
      <w:r>
        <w:rPr>
          <w:sz w:val="22"/>
        </w:rPr>
        <w:t>Il est recommandé de ne pas avoir plus de deux étudiants par poste de travail.</w:t>
      </w:r>
    </w:p>
    <w:p>
      <w:pPr>
        <w:tabs>
          <w:tab w:val="left" w:pos="-720"/>
        </w:tabs>
        <w:ind w:left="284"/>
        <w:jc w:val="both"/>
        <w:rPr>
          <w:sz w:val="22"/>
        </w:rPr>
      </w:pPr>
    </w:p>
    <w:p>
      <w:pPr>
        <w:tabs>
          <w:tab w:val="left" w:pos="-720"/>
        </w:tabs>
        <w:ind w:left="284"/>
        <w:jc w:val="both"/>
        <w:rPr>
          <w:sz w:val="22"/>
        </w:rPr>
      </w:pPr>
    </w:p>
    <w:p>
      <w:pPr>
        <w:tabs>
          <w:tab w:val="left" w:pos="-720"/>
        </w:tabs>
        <w:ind w:left="284"/>
        <w:jc w:val="both"/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7"/>
        <w:gridCol w:w="1417"/>
        <w:gridCol w:w="1856"/>
        <w:gridCol w:w="2255"/>
      </w:tblGrid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Mathématiques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color w:val="FF0000"/>
                <w:sz w:val="22"/>
                <w:szCs w:val="22"/>
              </w:rPr>
            </w:pPr>
            <w:bookmarkStart w:id="2" w:name="VOL"/>
            <w:bookmarkEnd w:id="2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p>
      <w:pPr>
        <w:rPr>
          <w:b/>
          <w:sz w:val="22"/>
        </w:rPr>
      </w:pPr>
    </w:p>
    <w:sectPr>
      <w:footerReference w:type="default" r:id="rId22"/>
      <w:footnotePr>
        <w:pos w:val="beneathText"/>
      </w:footnotePr>
      <w:type w:val="continuous"/>
      <w:pgSz w:w="11905" w:h="16837"/>
      <w:pgMar w:top="1134" w:right="1418" w:bottom="1134" w:left="1418" w:header="141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</w:rPr>
    </w:pPr>
    <w:r>
      <w:rPr>
        <w:sz w:val="16"/>
      </w:rPr>
      <w:t>UE C2D - Mathématiques : Niveau 2</w:t>
    </w:r>
    <w:r>
      <w:rPr>
        <w:sz w:val="16"/>
      </w:rPr>
      <w:tab/>
    </w:r>
    <w:r>
      <w:rPr>
        <w:sz w:val="16"/>
      </w:rPr>
      <w:tab/>
      <w:t xml:space="preserve">Page 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6</w:t>
    </w:r>
    <w:r>
      <w:rPr>
        <w:sz w:val="16"/>
      </w:rPr>
      <w:fldChar w:fldCharType="end"/>
    </w:r>
  </w:p>
  <w:p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2" w15:restartNumberingAfterBreak="0">
    <w:nsid w:val="0D5B1B20"/>
    <w:multiLevelType w:val="singleLevel"/>
    <w:tmpl w:val="08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</w:abstractNum>
  <w:abstractNum w:abstractNumId="3" w15:restartNumberingAfterBreak="0">
    <w:nsid w:val="18BC2813"/>
    <w:multiLevelType w:val="hybridMultilevel"/>
    <w:tmpl w:val="44304088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B54DC1"/>
    <w:multiLevelType w:val="hybridMultilevel"/>
    <w:tmpl w:val="47469D26"/>
    <w:lvl w:ilvl="0" w:tplc="187EF00E">
      <w:start w:val="1"/>
      <w:numFmt w:val="bullet"/>
      <w:lvlText w:val=""/>
      <w:lvlJc w:val="left"/>
      <w:pPr>
        <w:tabs>
          <w:tab w:val="num" w:pos="4041"/>
        </w:tabs>
        <w:ind w:left="4041" w:hanging="360"/>
      </w:pPr>
      <w:rPr>
        <w:rFonts w:ascii="Symbol" w:hAnsi="Symbol" w:hint="default"/>
        <w:color w:val="auto"/>
      </w:rPr>
    </w:lvl>
    <w:lvl w:ilvl="1" w:tplc="D7A2EE22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2" w:tplc="45729696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3" w:tplc="99D89334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4" w:tplc="ACDE4D7E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5" w:tplc="6A00FBC0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  <w:lvl w:ilvl="6" w:tplc="A2A2B8C0" w:tentative="1">
      <w:start w:val="1"/>
      <w:numFmt w:val="bullet"/>
      <w:lvlText w:val=""/>
      <w:lvlJc w:val="left"/>
      <w:pPr>
        <w:tabs>
          <w:tab w:val="num" w:pos="7510"/>
        </w:tabs>
        <w:ind w:left="7510" w:hanging="360"/>
      </w:pPr>
      <w:rPr>
        <w:rFonts w:ascii="Symbol" w:hAnsi="Symbol" w:hint="default"/>
      </w:rPr>
    </w:lvl>
    <w:lvl w:ilvl="7" w:tplc="135880DC" w:tentative="1">
      <w:start w:val="1"/>
      <w:numFmt w:val="bullet"/>
      <w:lvlText w:val="o"/>
      <w:lvlJc w:val="left"/>
      <w:pPr>
        <w:tabs>
          <w:tab w:val="num" w:pos="8230"/>
        </w:tabs>
        <w:ind w:left="8230" w:hanging="360"/>
      </w:pPr>
      <w:rPr>
        <w:rFonts w:ascii="Courier New" w:hAnsi="Courier New" w:hint="default"/>
      </w:rPr>
    </w:lvl>
    <w:lvl w:ilvl="8" w:tplc="1A1ACB92" w:tentative="1">
      <w:start w:val="1"/>
      <w:numFmt w:val="bullet"/>
      <w:lvlText w:val=""/>
      <w:lvlJc w:val="left"/>
      <w:pPr>
        <w:tabs>
          <w:tab w:val="num" w:pos="8950"/>
        </w:tabs>
        <w:ind w:left="8950" w:hanging="360"/>
      </w:pPr>
      <w:rPr>
        <w:rFonts w:ascii="Wingdings" w:hAnsi="Wingdings" w:hint="default"/>
      </w:rPr>
    </w:lvl>
  </w:abstractNum>
  <w:abstractNum w:abstractNumId="5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5A96F27"/>
    <w:multiLevelType w:val="hybridMultilevel"/>
    <w:tmpl w:val="0054E1FC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D02ED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9D1514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0" w15:restartNumberingAfterBreak="0">
    <w:nsid w:val="3B5162AE"/>
    <w:multiLevelType w:val="hybridMultilevel"/>
    <w:tmpl w:val="027CC7BC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0B28A5"/>
    <w:multiLevelType w:val="hybridMultilevel"/>
    <w:tmpl w:val="DBAAA45E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6"/>
  </w:num>
  <w:num w:numId="12">
    <w:abstractNumId w:val="2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EA40C5E-CC84-4617-AF6E-0BBBE20D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Retraitcorpsdetexte2">
    <w:name w:val="Body Text Indent 2"/>
    <w:basedOn w:val="Normal"/>
    <w:link w:val="Retraitcorpsdetexte2Car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Pr>
      <w:rFonts w:ascii="Times New Roman" w:eastAsia="Times New Roman" w:hAnsi="Times New Roman"/>
      <w:lang w:val="fr-FR" w:eastAsia="ar-SA"/>
    </w:rPr>
  </w:style>
  <w:style w:type="paragraph" w:customStyle="1" w:styleId="ListParagraph1">
    <w:name w:val="List Paragraph1"/>
    <w:basedOn w:val="Normal"/>
    <w:pPr>
      <w:suppressAutoHyphens w:val="0"/>
      <w:ind w:left="720"/>
      <w:contextualSpacing/>
    </w:pPr>
    <w:rPr>
      <w:rFonts w:ascii="Cambria" w:eastAsia="MS Minngs" w:hAnsi="Cambr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9D61C-4C1B-44F7-AB11-7B55CE05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Ferdinand Cocq Ixelles</Company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MERTENS Karin</cp:lastModifiedBy>
  <cp:revision>22</cp:revision>
  <cp:lastPrinted>2016-02-16T10:03:00Z</cp:lastPrinted>
  <dcterms:created xsi:type="dcterms:W3CDTF">2016-03-01T13:40:00Z</dcterms:created>
  <dcterms:modified xsi:type="dcterms:W3CDTF">2019-05-02T16:27:00Z</dcterms:modified>
</cp:coreProperties>
</file>