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re"/>
        <w:jc w:val="right"/>
        <w:rPr>
          <w:rFonts w:ascii="Times New Roman" w:hAnsi="Times New Roman"/>
          <w:sz w:val="16"/>
        </w:rPr>
      </w:pPr>
    </w:p>
    <w:p>
      <w:pPr>
        <w:spacing w:line="480" w:lineRule="auto"/>
        <w:jc w:val="center"/>
        <w:rPr>
          <w:rFonts w:ascii="Times New Roman" w:hAnsi="Times New Roman"/>
          <w:b/>
          <w:noProof/>
          <w:sz w:val="22"/>
          <w:szCs w:val="22"/>
        </w:rPr>
      </w:pPr>
      <w:bookmarkStart w:id="0" w:name="_Hlk516241087"/>
      <w:bookmarkStart w:id="1" w:name="_Hlk516242471"/>
      <w:r>
        <w:rPr>
          <w:rFonts w:ascii="Times New Roman" w:hAnsi="Times New Roman"/>
          <w:b/>
          <w:noProof/>
          <w:sz w:val="22"/>
          <w:szCs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/>
            <w:sz w:val="22"/>
            <w:szCs w:val="22"/>
          </w:rPr>
          <w:t>LA COMMUNAUTE FRANCAISE</w:t>
        </w:r>
      </w:smartTag>
    </w:p>
    <w:p>
      <w:pPr>
        <w:spacing w:line="48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ADMINISTRATION GENERALE DE L’ENSEIGNEMENT</w:t>
      </w:r>
    </w:p>
    <w:p>
      <w:pPr>
        <w:jc w:val="center"/>
        <w:rPr>
          <w:rFonts w:ascii="MS Serif" w:hAnsi="MS Serif"/>
          <w:noProof/>
          <w:sz w:val="20"/>
        </w:rPr>
      </w:pPr>
      <w:r>
        <w:rPr>
          <w:rFonts w:ascii="Times New Roman" w:hAnsi="Times New Roman"/>
          <w:b/>
          <w:noProof/>
          <w:sz w:val="22"/>
          <w:szCs w:val="22"/>
        </w:rPr>
        <w:t>ENSEIGNEMENT DE PROMOTION SOCIALE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/>
    <w:p>
      <w:pPr>
        <w:spacing w:line="480" w:lineRule="auto"/>
        <w:jc w:val="center"/>
        <w:rPr>
          <w:rFonts w:ascii="Times New Roman" w:hAnsi="Times New Roman"/>
          <w:b/>
          <w:noProof/>
          <w:sz w:val="28"/>
          <w:szCs w:val="22"/>
        </w:rPr>
      </w:pPr>
      <w:r>
        <w:rPr>
          <w:rFonts w:ascii="Times New Roman" w:hAnsi="Times New Roman"/>
          <w:b/>
          <w:noProof/>
          <w:sz w:val="28"/>
          <w:szCs w:val="22"/>
        </w:rPr>
        <w:t xml:space="preserve"> DOSSIER PEDAGOGIQUE</w:t>
      </w:r>
    </w:p>
    <w:p/>
    <w:p/>
    <w:p>
      <w:pPr>
        <w:keepNext/>
        <w:jc w:val="center"/>
        <w:outlineLvl w:val="1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UNITE D’ENSEIGNEMENT</w:t>
      </w:r>
    </w:p>
    <w:p/>
    <w:p>
      <w:r>
        <w:t xml:space="preserve"> </w:t>
      </w:r>
    </w:p>
    <w:p>
      <w:pPr>
        <w:jc w:val="center"/>
        <w:rPr>
          <w:rFonts w:ascii="Times New Roman" w:hAnsi="Times New Roman"/>
          <w:b/>
          <w:noProof/>
          <w:sz w:val="22"/>
        </w:rPr>
      </w:pPr>
      <w:r>
        <w:rPr>
          <w:rFonts w:ascii="Times New Roman" w:hAnsi="Times New Roman"/>
          <w:b/>
          <w:caps/>
          <w:sz w:val="32"/>
          <w:szCs w:val="32"/>
        </w:rPr>
        <w:t>BUREAU D’ETUDES DU GENIE CIVIL</w:t>
      </w: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caps/>
          <w:noProof/>
          <w:sz w:val="22"/>
        </w:rPr>
      </w:pPr>
      <w:r>
        <w:rPr>
          <w:rFonts w:ascii="Times New Roman" w:hAnsi="Times New Roman"/>
          <w:b/>
          <w:noProof/>
          <w:sz w:val="22"/>
        </w:rPr>
        <w:t xml:space="preserve">ENSEIGNEMENT </w:t>
      </w:r>
      <w:r>
        <w:rPr>
          <w:rFonts w:ascii="Times New Roman" w:hAnsi="Times New Roman"/>
          <w:b/>
          <w:caps/>
          <w:noProof/>
          <w:sz w:val="22"/>
        </w:rPr>
        <w:t>superieur de type court</w:t>
      </w:r>
    </w:p>
    <w:p>
      <w:pPr>
        <w:jc w:val="center"/>
        <w:rPr>
          <w:rFonts w:ascii="Times New Roman" w:hAnsi="Times New Roman"/>
          <w:b/>
          <w:caps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caps/>
          <w:noProof/>
          <w:sz w:val="20"/>
        </w:rPr>
        <w:t>Domaine : SCIENCES DE L'INGENIEUR ET TECHNOLOGIE</w:t>
      </w: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CODE : 32 51 07 U31 D2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CODE DU DOMAINE DE FORMATION : 303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DOCUMENT DE REFERENCE INTER-RESEAUX</w:t>
            </w:r>
          </w:p>
        </w:tc>
      </w:tr>
    </w:tbl>
    <w:p>
      <w:pPr>
        <w:ind w:left="708" w:firstLine="12"/>
        <w:rPr>
          <w:rFonts w:ascii="Times New Roman" w:hAnsi="Times New Roman"/>
          <w:b/>
        </w:rPr>
      </w:pPr>
    </w:p>
    <w:p>
      <w:pPr>
        <w:ind w:left="708" w:firstLine="12"/>
        <w:rPr>
          <w:rFonts w:ascii="Times New Roman" w:hAnsi="Times New Roman"/>
        </w:rPr>
      </w:pPr>
    </w:p>
    <w:p>
      <w:pPr>
        <w:ind w:left="708" w:firstLine="12"/>
        <w:rPr>
          <w:rFonts w:ascii="Times New Roman" w:hAnsi="Times New Roman"/>
        </w:rPr>
      </w:pPr>
    </w:p>
    <w:p>
      <w:pPr>
        <w:ind w:left="708" w:firstLine="12"/>
        <w:rPr>
          <w:rFonts w:ascii="Times New Roman" w:hAnsi="Times New Roman"/>
        </w:rPr>
      </w:pPr>
    </w:p>
    <w:p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Approbation du Gouvernement de la Communauté française du 01 juillet 2019, </w:t>
      </w:r>
    </w:p>
    <w:p>
      <w:pPr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sur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avis conforme du Conseil général</w:t>
      </w:r>
    </w:p>
    <w:bookmarkEnd w:id="0"/>
    <w:p>
      <w:pPr>
        <w:pStyle w:val="Titre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32"/>
          <w:szCs w:val="32"/>
          <w:lang w:val="fr-FR"/>
        </w:rPr>
        <w:br w:type="page"/>
      </w:r>
      <w:bookmarkEnd w:id="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>
        <w:tc>
          <w:tcPr>
            <w:tcW w:w="952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Titre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BUREAU D’ETUDES DU GENIE CIVIL</w:t>
            </w:r>
          </w:p>
          <w:p/>
          <w:p>
            <w:pPr>
              <w:pStyle w:val="Titre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ENSEIGNEMENT superieur technique de type court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>
      <w:pPr>
        <w:rPr>
          <w:rFonts w:ascii="Times New Roman" w:hAnsi="Times New Roman"/>
          <w:b/>
          <w:sz w:val="22"/>
        </w:rPr>
      </w:pPr>
    </w:p>
    <w:p>
      <w:pPr>
        <w:pStyle w:val="Titre2"/>
        <w:jc w:val="left"/>
      </w:pPr>
    </w:p>
    <w:p/>
    <w:p>
      <w:pPr>
        <w:pStyle w:val="Titre2"/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>FINALITES DE L’UNITE D’ENSEIGNEMENT</w:t>
      </w:r>
    </w:p>
    <w:p>
      <w:pPr>
        <w:rPr>
          <w:rFonts w:ascii="Times New Roman" w:hAnsi="Times New Roman"/>
          <w:b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1.1. Finalités générales</w:t>
      </w:r>
    </w:p>
    <w:p>
      <w:pPr>
        <w:rPr>
          <w:rFonts w:ascii="Times New Roman" w:hAnsi="Times New Roman"/>
          <w:b/>
          <w:sz w:val="22"/>
        </w:rPr>
      </w:pPr>
    </w:p>
    <w:p>
      <w:pPr>
        <w:pStyle w:val="Retraitcorpsdetexte2"/>
        <w:ind w:left="709"/>
        <w:jc w:val="both"/>
      </w:pPr>
      <w:r>
        <w:t xml:space="preserve">Dans le respect de l’article 7 du décret de </w:t>
      </w:r>
      <w:smartTag w:uri="urn:schemas-microsoft-com:office:smarttags" w:element="PersonName">
        <w:smartTagPr>
          <w:attr w:name="ProductID" w:val="la Communaut￩"/>
        </w:smartTagPr>
        <w:r>
          <w:t>la Communauté</w:t>
        </w:r>
      </w:smartTag>
      <w:r>
        <w:t xml:space="preserve"> française du 16 avril 1991 organisant l’enseignement de promotion sociale, cette unité d’enseignement doit :</w:t>
      </w:r>
    </w:p>
    <w:p>
      <w:pPr>
        <w:pStyle w:val="normal01"/>
        <w:widowControl/>
        <w:spacing w:line="240" w:lineRule="auto"/>
        <w:jc w:val="both"/>
        <w:rPr>
          <w:snapToGrid w:val="0"/>
        </w:rPr>
      </w:pPr>
    </w:p>
    <w:p>
      <w:pPr>
        <w:numPr>
          <w:ilvl w:val="0"/>
          <w:numId w:val="1"/>
        </w:numPr>
        <w:tabs>
          <w:tab w:val="left" w:pos="284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concourir à l’épanouissement individuel en promouvant une meilleure insertion professionnelle, sociale, scolaire et culturelle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rFonts w:ascii="Times New Roman" w:hAnsi="Times New Roman"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1.2. Finalités particulières</w:t>
      </w:r>
    </w:p>
    <w:p>
      <w:pPr>
        <w:ind w:left="426"/>
        <w:rPr>
          <w:rFonts w:ascii="Times New Roman" w:hAnsi="Times New Roman"/>
          <w:b/>
          <w:sz w:val="22"/>
        </w:rPr>
      </w:pPr>
    </w:p>
    <w:p>
      <w:pPr>
        <w:pStyle w:val="Retraitcorpsdetexte2"/>
        <w:ind w:left="709"/>
        <w:jc w:val="both"/>
      </w:pPr>
      <w:r>
        <w:t>L’unité d’enseignement vise à permettre à l’étudiant :</w:t>
      </w:r>
    </w:p>
    <w:p>
      <w:pPr>
        <w:pStyle w:val="Retraitcorpsdetexte2"/>
        <w:ind w:left="709"/>
        <w:jc w:val="both"/>
      </w:pP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réaliser des plans, des coupes, des élévations et détails d’un ouvrage d’art, notamment au moyen de logiciels appropriés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 choisir et de justifier  les matériaux et techniques constructives d’un projet d’ouvrage d’art ; 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d’appliquer les principes de stabilité au dimensionnement des ouvrages d'art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d’organiser un chantier du génie civil sur les plans administratif, technique et législatif.</w:t>
      </w:r>
    </w:p>
    <w:p>
      <w:pPr>
        <w:numPr>
          <w:ilvl w:val="12"/>
          <w:numId w:val="0"/>
        </w:numPr>
        <w:tabs>
          <w:tab w:val="left" w:pos="0"/>
          <w:tab w:val="right" w:pos="9302"/>
        </w:tabs>
        <w:jc w:val="right"/>
        <w:rPr>
          <w:sz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>CAPACITES PREALABLES REQUISES</w:t>
      </w:r>
    </w:p>
    <w:p>
      <w:pPr>
        <w:ind w:left="426"/>
        <w:rPr>
          <w:rFonts w:ascii="Times New Roman" w:hAnsi="Times New Roman"/>
          <w:b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2.1. Capacités</w:t>
      </w:r>
    </w:p>
    <w:p>
      <w:pPr>
        <w:tabs>
          <w:tab w:val="right" w:pos="1771"/>
        </w:tabs>
        <w:ind w:left="720"/>
        <w:rPr>
          <w:rFonts w:ascii="Times New Roman" w:hAnsi="Times New Roman"/>
          <w:sz w:val="22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16"/>
          <w:lang w:eastAsia="ar-SA"/>
        </w:rPr>
      </w:pPr>
      <w:r>
        <w:rPr>
          <w:rFonts w:ascii="Times New Roman" w:hAnsi="Times New Roman"/>
          <w:b/>
          <w:sz w:val="22"/>
          <w:szCs w:val="16"/>
          <w:lang w:eastAsia="ar-SA"/>
        </w:rPr>
        <w:t>En bachelier en construction : stage d’intégration professionnelle :</w:t>
      </w:r>
    </w:p>
    <w:p>
      <w:pPr>
        <w:ind w:left="270"/>
        <w:rPr>
          <w:rFonts w:ascii="Times New Roman" w:hAnsi="Times New Roman"/>
          <w:b/>
        </w:rPr>
      </w:pP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contribuer à la réalisation de tâches décrites dans le profil professionnel du bachelier en construction ;</w:t>
      </w: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décrire, au travers d’un rapport, ses activités  et en effectuer une analyse critique mettant en évidence les liens entre sa formation et ses futures compétences professionnelles. </w:t>
      </w:r>
    </w:p>
    <w:p>
      <w:pPr>
        <w:numPr>
          <w:ilvl w:val="12"/>
          <w:numId w:val="0"/>
        </w:numPr>
        <w:tabs>
          <w:tab w:val="left" w:pos="0"/>
          <w:tab w:val="right" w:pos="4195"/>
        </w:tabs>
        <w:rPr>
          <w:rFonts w:ascii="Times New Roman" w:hAnsi="Times New Roman"/>
          <w:i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 xml:space="preserve">En métré - devis – </w:t>
      </w:r>
      <w:proofErr w:type="gramStart"/>
      <w:r>
        <w:rPr>
          <w:rFonts w:ascii="Times New Roman" w:hAnsi="Times New Roman"/>
          <w:b/>
          <w:sz w:val="22"/>
          <w:szCs w:val="22"/>
          <w:lang w:eastAsia="ar-SA"/>
        </w:rPr>
        <w:t>planning  :</w:t>
      </w:r>
      <w:proofErr w:type="gramEnd"/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  <w:lang w:eastAsia="ar-SA"/>
        </w:rPr>
      </w:pP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partir d’un dossier de construction,</w:t>
      </w:r>
    </w:p>
    <w:p>
      <w:pPr>
        <w:numPr>
          <w:ilvl w:val="12"/>
          <w:numId w:val="0"/>
        </w:numPr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lastRenderedPageBreak/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utilisant le support informatique et la documentation appropriés :</w:t>
      </w:r>
    </w:p>
    <w:p>
      <w:pPr>
        <w:numPr>
          <w:ilvl w:val="12"/>
          <w:numId w:val="0"/>
        </w:numPr>
        <w:ind w:left="284"/>
        <w:rPr>
          <w:rFonts w:ascii="Times New Roman" w:hAnsi="Times New Roman"/>
          <w:sz w:val="22"/>
          <w:szCs w:val="22"/>
        </w:rPr>
      </w:pP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réaliser le métré d'un projet ; </w:t>
      </w: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en calculer le devis ;</w:t>
      </w: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en établir le planning.</w:t>
      </w:r>
    </w:p>
    <w:p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16"/>
          <w:lang w:eastAsia="ar-SA"/>
        </w:rPr>
      </w:pPr>
      <w:r>
        <w:rPr>
          <w:rFonts w:ascii="Times New Roman" w:hAnsi="Times New Roman"/>
          <w:b/>
          <w:sz w:val="22"/>
          <w:szCs w:val="16"/>
          <w:lang w:eastAsia="ar-SA"/>
        </w:rPr>
        <w:t xml:space="preserve">En dessin technique et DAO en construction </w:t>
      </w:r>
    </w:p>
    <w:p>
      <w:pPr>
        <w:numPr>
          <w:ilvl w:val="12"/>
          <w:numId w:val="0"/>
        </w:numPr>
        <w:spacing w:after="160" w:line="259" w:lineRule="auto"/>
        <w:ind w:left="851"/>
        <w:rPr>
          <w:rFonts w:ascii="Times New Roman" w:hAnsi="Times New Roman"/>
          <w:i/>
          <w:sz w:val="22"/>
          <w:szCs w:val="22"/>
        </w:rPr>
      </w:pP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respectant les normes,  les échelles, les conventions symboliques et les notations spécifiques du dessin,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partir de situations issues de la vie professionnelle relatives à la construction,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conformément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aux consignes données,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au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moyen d’un logiciel de DAO, approprié installé sur un ordinateur :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analyser les éléments constitutifs des plans d’un projet de construction et les situer ;</w:t>
      </w: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dessiner les différentes vues (plans, coupes, élévations, détails, axonométries, etc.) d’un projet de construction ;</w:t>
      </w: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réaliser les mises en page et l’impression des plans.</w:t>
      </w:r>
    </w:p>
    <w:p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16"/>
          <w:lang w:eastAsia="ar-SA"/>
        </w:rPr>
      </w:pPr>
      <w:r>
        <w:rPr>
          <w:rFonts w:ascii="Times New Roman" w:hAnsi="Times New Roman"/>
          <w:b/>
          <w:sz w:val="22"/>
          <w:szCs w:val="16"/>
          <w:lang w:eastAsia="ar-SA"/>
        </w:rPr>
        <w:t xml:space="preserve">En hydraulique appliquée </w:t>
      </w: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16"/>
          <w:lang w:eastAsia="ar-SA"/>
        </w:rPr>
      </w:pP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respectant les normes en vigueur et les principes de gestion durable,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face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à des situations liées à la profession,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conformément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aux consignes données :</w:t>
      </w:r>
    </w:p>
    <w:p>
      <w:pPr>
        <w:spacing w:line="360" w:lineRule="auto"/>
        <w:ind w:left="567"/>
        <w:jc w:val="both"/>
        <w:rPr>
          <w:rFonts w:ascii="Times New Roman" w:eastAsia="Calibri" w:hAnsi="Times New Roman"/>
          <w:i/>
          <w:iCs/>
          <w:color w:val="FF0000"/>
          <w:sz w:val="22"/>
          <w:szCs w:val="22"/>
          <w:lang w:eastAsia="en-US"/>
        </w:rPr>
      </w:pP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décrire et expliquer le rôle des principaux éléments qui interviennent dans les processus de distribution, de démergement, d’égouttage et d’assainissement ;</w:t>
      </w: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analyser le fonctionnement de dispositifs hydrauliques grâce aux principes hydrostatiques ;</w:t>
      </w: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expliquer des phénomènes hydrauliques ;</w:t>
      </w:r>
    </w:p>
    <w:p>
      <w:pPr>
        <w:numPr>
          <w:ilvl w:val="0"/>
          <w:numId w:val="29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choisir et dimensionner un réseau élémentaire public et un réseau élémentaire privé :</w:t>
      </w:r>
    </w:p>
    <w:p>
      <w:pPr>
        <w:numPr>
          <w:ilvl w:val="1"/>
          <w:numId w:val="27"/>
        </w:numPr>
        <w:spacing w:before="120" w:after="120" w:line="312" w:lineRule="auto"/>
        <w:jc w:val="both"/>
        <w:rPr>
          <w:rFonts w:ascii="Times New Roman" w:hAnsi="Times New Roman"/>
          <w:sz w:val="22"/>
          <w:szCs w:val="22"/>
          <w:lang w:val="fr-BE"/>
        </w:rPr>
      </w:pPr>
      <w:r>
        <w:rPr>
          <w:rFonts w:ascii="Times New Roman" w:hAnsi="Times New Roman"/>
          <w:sz w:val="22"/>
          <w:szCs w:val="22"/>
          <w:lang w:val="fr-BE"/>
        </w:rPr>
        <w:t>de distribution,</w:t>
      </w:r>
    </w:p>
    <w:p>
      <w:pPr>
        <w:numPr>
          <w:ilvl w:val="1"/>
          <w:numId w:val="27"/>
        </w:numPr>
        <w:spacing w:before="120" w:after="120" w:line="312" w:lineRule="auto"/>
        <w:jc w:val="both"/>
        <w:rPr>
          <w:rFonts w:ascii="Times New Roman" w:hAnsi="Times New Roman"/>
          <w:sz w:val="22"/>
          <w:szCs w:val="22"/>
          <w:lang w:val="fr-BE"/>
        </w:rPr>
      </w:pPr>
      <w:r>
        <w:rPr>
          <w:rFonts w:ascii="Times New Roman" w:hAnsi="Times New Roman"/>
          <w:sz w:val="22"/>
          <w:szCs w:val="22"/>
          <w:lang w:val="fr-BE"/>
        </w:rPr>
        <w:t>d’assainissement des eaux usées et des eaux pluviales.</w:t>
      </w:r>
    </w:p>
    <w:p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>
      <w:pPr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 Titres pouvant en tenir lieu</w:t>
      </w:r>
    </w:p>
    <w:p>
      <w:pPr>
        <w:jc w:val="both"/>
        <w:rPr>
          <w:rFonts w:ascii="Times New Roman" w:hAnsi="Times New Roman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sz w:val="22"/>
          <w:szCs w:val="22"/>
          <w:highlight w:val="yellow"/>
        </w:rPr>
      </w:pPr>
    </w:p>
    <w:p>
      <w:pPr>
        <w:ind w:left="709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Attestation de réussite de l'unité d’enseignement « Bachelier en construction : Stage d’intégration professionnelle », code n° 325309</w:t>
      </w:r>
      <w:bookmarkStart w:id="2" w:name="_GoBack"/>
      <w:bookmarkEnd w:id="2"/>
      <w:r>
        <w:rPr>
          <w:rFonts w:ascii="Times New Roman" w:hAnsi="Times New Roman"/>
          <w:snapToGrid w:val="0"/>
          <w:sz w:val="22"/>
        </w:rPr>
        <w:t>U31D1, classée dans l’enseignement supérieur de type court du domaine des sciences de l’ingénieur et technologie ;</w:t>
      </w: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sz w:val="22"/>
          <w:szCs w:val="22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et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</w:t>
      </w: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sz w:val="22"/>
          <w:szCs w:val="22"/>
        </w:rPr>
      </w:pPr>
    </w:p>
    <w:p>
      <w:pPr>
        <w:ind w:left="709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Attestation de réussite de l'unité d’enseignement « métré – devis - planning  », code n° 323121U31D1, classée dans l’enseignement supérieur de type court du domaine des sciences de l’ingénieur et technologie.</w:t>
      </w: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et</w:t>
      </w:r>
      <w:proofErr w:type="gramEnd"/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</w:rPr>
      </w:pPr>
    </w:p>
    <w:p>
      <w:pPr>
        <w:ind w:left="709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Attestation de réussite de l'unité d’enseignement « dessin technique et DAO en construction», code n° 398105U31D1, classée dans l’enseignement supérieur de type court du domaine des sciences de l’ingénieur et technologie ;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et</w:t>
      </w:r>
      <w:proofErr w:type="gramEnd"/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</w:rPr>
      </w:pPr>
    </w:p>
    <w:p>
      <w:pPr>
        <w:ind w:left="709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Attestation de réussite de l'unité d’enseignement « hydraulique appliquée», code n° 325266U31D2, classée dans l’enseignement supérieur de type court du domaine des sciences de l’ingénieur et technologie ;</w:t>
      </w:r>
    </w:p>
    <w:p>
      <w:pPr>
        <w:rPr>
          <w:rFonts w:ascii="Times New Roman" w:hAnsi="Times New Roman"/>
          <w:sz w:val="22"/>
        </w:rPr>
      </w:pPr>
    </w:p>
    <w:p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>
      <w:pPr>
        <w:rPr>
          <w:rFonts w:ascii="Times New Roman" w:hAnsi="Times New Roman"/>
          <w:sz w:val="22"/>
        </w:rPr>
      </w:pPr>
    </w:p>
    <w:p>
      <w:pPr>
        <w:rPr>
          <w:rFonts w:ascii="Times New Roman" w:hAnsi="Times New Roman"/>
          <w:sz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>ACQUIS D’APPRENTISSAGE</w:t>
      </w:r>
    </w:p>
    <w:p>
      <w:pPr>
        <w:spacing w:line="360" w:lineRule="auto"/>
        <w:rPr>
          <w:rFonts w:ascii="Times New Roman" w:hAnsi="Times New Roman"/>
          <w:sz w:val="22"/>
          <w:u w:val="single"/>
          <w:lang w:val="fr-BE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Pour atteindre le seuil de réussite</w:t>
      </w:r>
      <w:r>
        <w:rPr>
          <w:rFonts w:ascii="Times New Roman" w:hAnsi="Times New Roman"/>
          <w:sz w:val="22"/>
          <w:szCs w:val="22"/>
        </w:rPr>
        <w:t>, l'étudiant sera capable,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respectant les normes de représentation,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partir de situations issues de la vie professionnelle,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au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moyen de logiciels appropriés :</w:t>
      </w:r>
    </w:p>
    <w:p>
      <w:pPr>
        <w:widowControl w:val="0"/>
        <w:spacing w:before="120"/>
        <w:jc w:val="both"/>
        <w:rPr>
          <w:rFonts w:ascii="Times New Roman" w:hAnsi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d’analyser les matériaux et le mode de construction des ouvrages d’art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proposer des solutions appropriées et de les justifier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dimensionner un ouvrage d'art simple en tenant compte des conditions de stabilité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dessiner des détails d’ouvrage(s) d’art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calculer des éléments géométriques et topographiques nécessaires en vue de dessiner des plans d’un projet relatif aux voies de communication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simuler l’organisation d’un chantier de génie civil sur les plans administratif, technique et législatif, y compris son état d’avancement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porter un regard réflexif et critique sur son projet.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fr-BE" w:eastAsia="fr-BE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Pour la détermination du degré de maîtrise</w:t>
      </w:r>
      <w:r>
        <w:rPr>
          <w:rFonts w:ascii="Times New Roman" w:hAnsi="Times New Roman"/>
          <w:sz w:val="22"/>
          <w:szCs w:val="22"/>
        </w:rPr>
        <w:t>, il sera tenu compte des critères suivants :</w:t>
      </w: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sz w:val="22"/>
          <w:szCs w:val="22"/>
          <w:lang w:val="fr-BE" w:eastAsia="fr-BE"/>
        </w:rPr>
      </w:pP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niveau de cohérence : la capacité à établir une majorité de liens logiques pour former un ensemble organisé,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niveau de précision : la clarté, la concision, la rigueur au niveau de la terminologie, des concepts et des techniques/principes/modèles/plans,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niveau d’autonomie : la capacité de faire preuve d’initiatives démontrant une réflexion personnelle basée sur une exploitation des ressources et des idées en interdépendance avec son environnement.</w:t>
      </w:r>
    </w:p>
    <w:p>
      <w:pPr>
        <w:widowControl w:val="0"/>
        <w:spacing w:before="120"/>
        <w:ind w:left="284"/>
        <w:jc w:val="both"/>
        <w:rPr>
          <w:rFonts w:ascii="Times New Roman" w:hAnsi="Times New Roman"/>
          <w:sz w:val="22"/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>PROGRAMME</w:t>
      </w:r>
    </w:p>
    <w:p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eastAsia="fr-BE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L'étudiant sera capable :</w:t>
      </w: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b/>
          <w:bCs/>
          <w:sz w:val="22"/>
          <w:szCs w:val="22"/>
          <w:lang w:val="fr-BE" w:eastAsia="fr-BE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partir de situations issues de la vie professionnelle relatives au génie civil,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l’aide d’une documentation spécifique y compris en langue étrangère,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au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moyen de logiciels appropriés,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utilisant la terminologie des techniques du génie civil, 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respectant les normes, les échelles, les conventions et les notations spécifiques du dessin,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faisant référence aux principes du code de mesurage et aux législations en vigueur (sécurité, incendie, accessibilité aux PMR, …),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eastAsia="fr-BE"/>
        </w:rPr>
      </w:pP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bCs/>
          <w:sz w:val="22"/>
          <w:szCs w:val="22"/>
          <w:lang w:eastAsia="fr-BE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fr-BE" w:eastAsia="fr-BE"/>
        </w:rPr>
      </w:pP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b/>
          <w:bCs/>
          <w:sz w:val="22"/>
          <w:szCs w:val="22"/>
          <w:lang w:val="fr-BE" w:eastAsia="fr-BE"/>
        </w:rPr>
      </w:pPr>
      <w:r>
        <w:rPr>
          <w:rFonts w:ascii="Times New Roman" w:hAnsi="Times New Roman"/>
          <w:b/>
          <w:bCs/>
          <w:sz w:val="22"/>
          <w:szCs w:val="22"/>
          <w:lang w:val="fr-BE" w:eastAsia="fr-BE"/>
        </w:rPr>
        <w:t xml:space="preserve">4.1. En laboratoire du </w:t>
      </w:r>
      <w:r>
        <w:rPr>
          <w:rFonts w:ascii="Times New Roman" w:hAnsi="Times New Roman"/>
          <w:b/>
          <w:bCs/>
          <w:szCs w:val="24"/>
          <w:lang w:val="fr-BE" w:eastAsia="fr-BE"/>
        </w:rPr>
        <w:t xml:space="preserve">bureau d’études </w:t>
      </w:r>
      <w:r>
        <w:rPr>
          <w:rFonts w:ascii="Times New Roman" w:hAnsi="Times New Roman"/>
          <w:b/>
          <w:bCs/>
          <w:sz w:val="22"/>
          <w:szCs w:val="22"/>
          <w:lang w:val="fr-BE" w:eastAsia="fr-BE"/>
        </w:rPr>
        <w:t>du génie civil :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d'énoncer les différentes sollicitations qui peuvent agir sur les ouvrages d'art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d'expliquer les conditions de stabilité (y compris les problèmes de fondation) spécifiques aux ouvrages d'art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dimensionner des ouvrages d'art simples en tenant compte des paramètres physiques liés à leur position géographique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d’analyser la composition des divers ouvrages d'art (béton armé, précontraint, mixte acier-béton, bois, …)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décrire les différentes méthodes et phases dans la construction des ouvrages d’art ;</w:t>
      </w:r>
    </w:p>
    <w:p>
      <w:pPr>
        <w:widowControl w:val="0"/>
        <w:spacing w:before="120"/>
        <w:ind w:left="284"/>
        <w:jc w:val="both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ab/>
        <w:t>Ces objectifs seront poursuivis à l’occasion des points de programme suivants :</w:t>
      </w:r>
    </w:p>
    <w:p>
      <w:pPr>
        <w:pStyle w:val="Textebrut"/>
        <w:rPr>
          <w:rFonts w:ascii="Times New Roman" w:hAnsi="Times New Roman"/>
          <w:sz w:val="22"/>
        </w:rPr>
      </w:pPr>
    </w:p>
    <w:p>
      <w:pPr>
        <w:pStyle w:val="Textebrut"/>
        <w:numPr>
          <w:ilvl w:val="0"/>
          <w:numId w:val="2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les ouvrages de terrassements,</w:t>
      </w:r>
    </w:p>
    <w:p>
      <w:pPr>
        <w:pStyle w:val="Textebrut"/>
        <w:numPr>
          <w:ilvl w:val="0"/>
          <w:numId w:val="2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les ouvrages de soutènement,</w:t>
      </w:r>
    </w:p>
    <w:p>
      <w:pPr>
        <w:pStyle w:val="Textebrut"/>
        <w:numPr>
          <w:ilvl w:val="0"/>
          <w:numId w:val="2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les ouvrages aériens,</w:t>
      </w:r>
    </w:p>
    <w:p>
      <w:pPr>
        <w:pStyle w:val="Textebrut"/>
        <w:numPr>
          <w:ilvl w:val="0"/>
          <w:numId w:val="2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les ouvrages de voirie,</w:t>
      </w:r>
    </w:p>
    <w:p>
      <w:pPr>
        <w:pStyle w:val="Textebrut"/>
        <w:numPr>
          <w:ilvl w:val="0"/>
          <w:numId w:val="2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les ouvrages souterrains,</w:t>
      </w:r>
    </w:p>
    <w:p>
      <w:pPr>
        <w:pStyle w:val="Textebrut"/>
        <w:numPr>
          <w:ilvl w:val="0"/>
          <w:numId w:val="2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les ouvrages fluviaux et maritimes ;</w:t>
      </w:r>
    </w:p>
    <w:p>
      <w:pPr>
        <w:widowControl w:val="0"/>
        <w:spacing w:before="120"/>
        <w:jc w:val="both"/>
        <w:rPr>
          <w:rFonts w:ascii="Times New Roman" w:hAnsi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d’exploiter un cahier spécial des charges ; 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lire et interpréter des plans relatifs à des ouvrages d’art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dessiner à une échelle adéquate et de coter des éléments relatifs aux ouvrages d’art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d’élaborer le plan de ferraillage et de coffrage d’un élément simple sur base d’une note de calcul du bureau d’études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d’élaborer un bordereau d’armatures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d’analyser et d’interpréter un plan de ferraillage et de coffrage d’un ouvrage de génie civil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porter un regard réflexif et critique sur son projet.</w:t>
      </w:r>
    </w:p>
    <w:p>
      <w:pPr>
        <w:tabs>
          <w:tab w:val="left" w:pos="360"/>
        </w:tabs>
        <w:spacing w:before="120" w:after="120"/>
        <w:ind w:left="1066"/>
        <w:jc w:val="both"/>
        <w:rPr>
          <w:rFonts w:ascii="Times New Roman" w:hAnsi="Times New Roman"/>
          <w:sz w:val="22"/>
        </w:rPr>
      </w:pPr>
    </w:p>
    <w:p>
      <w:pPr>
        <w:widowControl w:val="0"/>
        <w:spacing w:before="120"/>
        <w:jc w:val="both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b/>
          <w:bCs/>
          <w:sz w:val="22"/>
          <w:szCs w:val="22"/>
          <w:lang w:val="fr-BE" w:eastAsia="fr-BE"/>
        </w:rPr>
      </w:pPr>
      <w:r>
        <w:rPr>
          <w:rFonts w:ascii="Times New Roman" w:hAnsi="Times New Roman"/>
          <w:b/>
          <w:bCs/>
          <w:sz w:val="22"/>
          <w:szCs w:val="22"/>
          <w:lang w:val="fr-BE" w:eastAsia="fr-BE"/>
        </w:rPr>
        <w:t>4.2 En organisation de chantier du génie civil :</w:t>
      </w:r>
    </w:p>
    <w:p>
      <w:pPr>
        <w:widowControl w:val="0"/>
        <w:spacing w:before="120"/>
        <w:jc w:val="both"/>
        <w:rPr>
          <w:rFonts w:ascii="Times New Roman" w:hAnsi="Times New Roman"/>
          <w:sz w:val="22"/>
          <w:szCs w:val="22"/>
          <w:lang w:val="fr-BE"/>
        </w:rPr>
      </w:pP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d’organiser une installation de chantier et d’en définir les implications intérieures et extérieures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répercuter sur ces installations l’imposition des législations, permis, arrêtés communaux, de police, …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d’organiser les ressources humaines, les ressources en équipement et en matériel d’un chantier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de gérer les approvisionnements et la problématique des déchets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suivre l’évolution financière du chantier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situer les rôles et les responsabilités des différents partenaires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veiller au respect du code du bien-être au travail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d’appliquer les principes fondamentaux de la démarche qualité propres à l’organisation de chantier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d’appliquer les mesures prévues au plan de sécurité et de santé et au cahier des charges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d’utiliser  les moyens de communication adéquats pour la circulation de l’information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d’appliquer ses compétences techniques dans les différentes phases du chantier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gérer le journal des travaux (intempéries, nombre d’hommes, qualifications, travaux réalisés, états d’avancements journaliers, correspondances au prévisionnel,…)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suivre  les états d’avancement comptable et quantitatif.</w:t>
      </w:r>
    </w:p>
    <w:p>
      <w:pPr>
        <w:widowControl w:val="0"/>
        <w:spacing w:before="120"/>
        <w:ind w:left="284"/>
        <w:jc w:val="both"/>
        <w:rPr>
          <w:rFonts w:ascii="Times New Roman" w:hAnsi="Times New Roman"/>
          <w:sz w:val="22"/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 xml:space="preserve">CONSTITUTION DES GROUPES OU REGROUPEMENT </w:t>
      </w:r>
    </w:p>
    <w:p>
      <w:pPr>
        <w:tabs>
          <w:tab w:val="left" w:pos="567"/>
        </w:tabs>
        <w:spacing w:line="360" w:lineRule="auto"/>
        <w:ind w:left="180"/>
        <w:jc w:val="both"/>
        <w:rPr>
          <w:rFonts w:ascii="Times New Roman" w:hAnsi="Times New Roman"/>
          <w:b/>
          <w:caps/>
          <w:sz w:val="22"/>
          <w:szCs w:val="22"/>
          <w:u w:val="single"/>
        </w:rPr>
      </w:pPr>
    </w:p>
    <w:p>
      <w:pPr>
        <w:tabs>
          <w:tab w:val="left" w:pos="851"/>
        </w:tabs>
        <w:autoSpaceDE w:val="0"/>
        <w:autoSpaceDN w:val="0"/>
        <w:ind w:left="284"/>
        <w:jc w:val="both"/>
        <w:rPr>
          <w:rFonts w:ascii="Times New Roman" w:hAnsi="Times New Roman"/>
          <w:sz w:val="22"/>
          <w:szCs w:val="22"/>
          <w:lang w:val="fr-BE"/>
        </w:rPr>
      </w:pPr>
      <w:r>
        <w:rPr>
          <w:rFonts w:ascii="Times New Roman" w:hAnsi="Times New Roman"/>
          <w:sz w:val="22"/>
          <w:szCs w:val="22"/>
        </w:rPr>
        <w:t>Pour le laboratoire du bureau d’études du génie civil</w:t>
      </w:r>
      <w:r>
        <w:rPr>
          <w:rFonts w:ascii="Times New Roman" w:hAnsi="Times New Roman"/>
          <w:sz w:val="22"/>
          <w:szCs w:val="22"/>
          <w:lang w:val="fr-BE"/>
        </w:rPr>
        <w:t>, il est recommandé de ne pas dépasser deux étudiants par poste de travail et vingt étudiants par groupe.</w:t>
      </w:r>
    </w:p>
    <w:p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highlight w:val="yellow"/>
        </w:rPr>
      </w:pPr>
    </w:p>
    <w:p>
      <w:pPr>
        <w:pStyle w:val="Retraitcorpsdetexte"/>
        <w:ind w:left="284"/>
        <w:rPr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>CHARGE DE COURS</w:t>
      </w:r>
    </w:p>
    <w:p>
      <w:pPr>
        <w:numPr>
          <w:ilvl w:val="12"/>
          <w:numId w:val="0"/>
        </w:numPr>
        <w:tabs>
          <w:tab w:val="left" w:pos="567"/>
        </w:tabs>
        <w:ind w:left="284" w:hanging="284"/>
        <w:jc w:val="center"/>
        <w:rPr>
          <w:rFonts w:ascii="Times New Roman" w:hAnsi="Times New Roman"/>
          <w:sz w:val="22"/>
          <w:szCs w:val="22"/>
        </w:rPr>
      </w:pPr>
    </w:p>
    <w:p>
      <w:pPr>
        <w:numPr>
          <w:ilvl w:val="12"/>
          <w:numId w:val="0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>
      <w:pPr>
        <w:ind w:left="25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 enseignant ou un expert.</w:t>
      </w:r>
    </w:p>
    <w:p>
      <w:pPr>
        <w:ind w:left="252"/>
        <w:rPr>
          <w:rFonts w:ascii="Times New Roman" w:hAnsi="Times New Roman"/>
          <w:sz w:val="22"/>
          <w:szCs w:val="22"/>
        </w:rPr>
      </w:pPr>
    </w:p>
    <w:p>
      <w:pPr>
        <w:ind w:left="25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numPr>
          <w:ilvl w:val="12"/>
          <w:numId w:val="0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>HORAIRE MINIMUM DE L'UNITE D’ENSEIGNEMENT</w:t>
      </w:r>
    </w:p>
    <w:p>
      <w:pPr>
        <w:rPr>
          <w:u w:val="single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9"/>
        <w:gridCol w:w="1544"/>
        <w:gridCol w:w="1221"/>
        <w:gridCol w:w="1369"/>
      </w:tblGrid>
      <w:tr>
        <w:trPr>
          <w:cantSplit/>
        </w:trPr>
        <w:tc>
          <w:tcPr>
            <w:tcW w:w="5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2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Classement </w:t>
            </w:r>
          </w:p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Code U</w:t>
            </w:r>
          </w:p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Nombre de périodes</w:t>
            </w:r>
          </w:p>
        </w:tc>
      </w:tr>
      <w:tr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Laboratoire du bureau d’études du génie civil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</w:tr>
      <w:tr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Organisation de chantier du génie civil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left="709" w:hanging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7.2. Part d'autonomie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>
        <w:trPr>
          <w:cantSplit/>
          <w:trHeight w:val="373"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 des périodes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160</w:t>
            </w:r>
          </w:p>
        </w:tc>
      </w:tr>
    </w:tbl>
    <w:p/>
    <w:p/>
    <w:p>
      <w:pPr>
        <w:numPr>
          <w:ilvl w:val="12"/>
          <w:numId w:val="0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>
      <w:pPr>
        <w:spacing w:line="360" w:lineRule="auto"/>
        <w:rPr>
          <w:rFonts w:ascii="Times New Roman" w:hAnsi="Times New Roman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coType Naskh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5245"/>
        <w:tab w:val="right" w:pos="9072"/>
      </w:tabs>
      <w:rPr>
        <w:rFonts w:ascii="Times New Roman" w:hAnsi="Times New Roman"/>
        <w:sz w:val="18"/>
        <w:szCs w:val="18"/>
        <w:lang w:val="fr-BE"/>
      </w:rPr>
    </w:pPr>
    <w:r>
      <w:rPr>
        <w:rFonts w:ascii="Times New Roman" w:hAnsi="Times New Roman"/>
        <w:sz w:val="18"/>
        <w:szCs w:val="18"/>
        <w:lang w:val="fr-BE"/>
      </w:rPr>
      <w:t>Bachelier en construction - UE Bureau d’études du génie civil</w:t>
    </w:r>
    <w:r>
      <w:rPr>
        <w:rFonts w:ascii="Times New Roman" w:hAnsi="Times New Roman"/>
        <w:sz w:val="18"/>
        <w:szCs w:val="18"/>
        <w:lang w:val="fr-BE"/>
      </w:rPr>
      <w:tab/>
    </w:r>
    <w:r>
      <w:rPr>
        <w:rFonts w:ascii="Times New Roman" w:hAnsi="Times New Roman"/>
        <w:sz w:val="18"/>
        <w:szCs w:val="18"/>
        <w:lang w:val="fr-BE"/>
      </w:rPr>
      <w:tab/>
      <w:t xml:space="preserve">Page </w:t>
    </w:r>
    <w:r>
      <w:rPr>
        <w:rFonts w:ascii="Times New Roman" w:hAnsi="Times New Roman"/>
        <w:sz w:val="18"/>
        <w:szCs w:val="18"/>
        <w:lang w:val="fr-BE"/>
      </w:rPr>
      <w:fldChar w:fldCharType="begin"/>
    </w:r>
    <w:r>
      <w:rPr>
        <w:rFonts w:ascii="Times New Roman" w:hAnsi="Times New Roman"/>
        <w:sz w:val="18"/>
        <w:szCs w:val="18"/>
        <w:lang w:val="fr-BE"/>
      </w:rPr>
      <w:instrText xml:space="preserve"> PAGE </w:instrText>
    </w:r>
    <w:r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fr-BE"/>
      </w:rPr>
      <w:t>4</w:t>
    </w:r>
    <w:r>
      <w:rPr>
        <w:rFonts w:ascii="Times New Roman" w:hAnsi="Times New Roman"/>
        <w:sz w:val="18"/>
        <w:szCs w:val="18"/>
        <w:lang w:val="fr-BE"/>
      </w:rPr>
      <w:fldChar w:fldCharType="end"/>
    </w:r>
    <w:r>
      <w:rPr>
        <w:rFonts w:ascii="Times New Roman" w:hAnsi="Times New Roman"/>
        <w:sz w:val="18"/>
        <w:szCs w:val="18"/>
        <w:lang w:val="fr-BE"/>
      </w:rPr>
      <w:t xml:space="preserve"> sur </w:t>
    </w:r>
    <w:r>
      <w:rPr>
        <w:rFonts w:ascii="Times New Roman" w:hAnsi="Times New Roman"/>
        <w:sz w:val="18"/>
        <w:szCs w:val="18"/>
        <w:lang w:val="fr-BE"/>
      </w:rPr>
      <w:fldChar w:fldCharType="begin"/>
    </w:r>
    <w:r>
      <w:rPr>
        <w:rFonts w:ascii="Times New Roman" w:hAnsi="Times New Roman"/>
        <w:sz w:val="18"/>
        <w:szCs w:val="18"/>
        <w:lang w:val="fr-BE"/>
      </w:rPr>
      <w:instrText xml:space="preserve"> NUMPAGES </w:instrText>
    </w:r>
    <w:r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fr-BE"/>
      </w:rPr>
      <w:t>7</w:t>
    </w:r>
    <w:r>
      <w:rPr>
        <w:rFonts w:ascii="Times New Roman" w:hAnsi="Times New Roman"/>
        <w:sz w:val="18"/>
        <w:szCs w:val="18"/>
        <w:lang w:val="fr-BE"/>
      </w:rPr>
      <w:fldChar w:fldCharType="end"/>
    </w:r>
  </w:p>
  <w:p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3778D"/>
    <w:multiLevelType w:val="hybridMultilevel"/>
    <w:tmpl w:val="60DA04A4"/>
    <w:lvl w:ilvl="0" w:tplc="FFFFFFFF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EF15AA"/>
    <w:multiLevelType w:val="hybridMultilevel"/>
    <w:tmpl w:val="1AEC1E4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E64E0"/>
    <w:multiLevelType w:val="hybridMultilevel"/>
    <w:tmpl w:val="44F031BE"/>
    <w:lvl w:ilvl="0" w:tplc="6FDA5B76">
      <w:numFmt w:val="bullet"/>
      <w:lvlText w:val=""/>
      <w:lvlJc w:val="left"/>
      <w:pPr>
        <w:tabs>
          <w:tab w:val="num" w:pos="909"/>
        </w:tabs>
        <w:ind w:left="909" w:firstLine="226"/>
      </w:pPr>
      <w:rPr>
        <w:rFonts w:ascii="Symbol" w:hAnsi="Symbol" w:hint="default"/>
        <w:b/>
        <w:i w:val="0"/>
        <w:sz w:val="20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3556E3"/>
    <w:multiLevelType w:val="hybridMultilevel"/>
    <w:tmpl w:val="4E708B24"/>
    <w:lvl w:ilvl="0" w:tplc="6FDA5B76">
      <w:numFmt w:val="bullet"/>
      <w:lvlText w:val=""/>
      <w:lvlJc w:val="left"/>
      <w:pPr>
        <w:tabs>
          <w:tab w:val="num" w:pos="625"/>
        </w:tabs>
        <w:ind w:left="625" w:firstLine="226"/>
      </w:pPr>
      <w:rPr>
        <w:rFonts w:ascii="Symbol" w:hAnsi="Symbol" w:hint="default"/>
        <w:b/>
        <w:i w:val="0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635B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98074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C235A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D01E4A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223F10A9"/>
    <w:multiLevelType w:val="singleLevel"/>
    <w:tmpl w:val="7EF86974"/>
    <w:lvl w:ilvl="0">
      <w:start w:val="1"/>
      <w:numFmt w:val="bullet"/>
      <w:lvlText w:val=""/>
      <w:lvlJc w:val="left"/>
      <w:pPr>
        <w:tabs>
          <w:tab w:val="num" w:pos="2127"/>
        </w:tabs>
        <w:ind w:left="2127" w:hanging="567"/>
      </w:pPr>
      <w:rPr>
        <w:rFonts w:ascii="Symbol" w:hAnsi="Symbol" w:hint="default"/>
        <w:sz w:val="22"/>
      </w:rPr>
    </w:lvl>
  </w:abstractNum>
  <w:abstractNum w:abstractNumId="10" w15:restartNumberingAfterBreak="0">
    <w:nsid w:val="25125C79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A3A348C"/>
    <w:multiLevelType w:val="multilevel"/>
    <w:tmpl w:val="41A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742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1A4BFD"/>
    <w:multiLevelType w:val="hybridMultilevel"/>
    <w:tmpl w:val="DE4CC702"/>
    <w:lvl w:ilvl="0" w:tplc="B15CAD50">
      <w:numFmt w:val="bullet"/>
      <w:lvlText w:val=""/>
      <w:lvlJc w:val="left"/>
      <w:pPr>
        <w:tabs>
          <w:tab w:val="num" w:pos="625"/>
        </w:tabs>
        <w:ind w:left="625" w:firstLine="226"/>
      </w:pPr>
      <w:rPr>
        <w:rFonts w:ascii="Symbol" w:hAnsi="Symbol" w:hint="default"/>
        <w:b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E45"/>
    <w:multiLevelType w:val="hybridMultilevel"/>
    <w:tmpl w:val="0082C526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30CA4"/>
    <w:multiLevelType w:val="hybridMultilevel"/>
    <w:tmpl w:val="68306D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7089A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7" w15:restartNumberingAfterBreak="0">
    <w:nsid w:val="51D22545"/>
    <w:multiLevelType w:val="hybridMultilevel"/>
    <w:tmpl w:val="F2D8F570"/>
    <w:lvl w:ilvl="0" w:tplc="549AFC1E">
      <w:start w:val="14"/>
      <w:numFmt w:val="bullet"/>
      <w:lvlText w:val="-"/>
      <w:lvlJc w:val="left"/>
      <w:pPr>
        <w:ind w:left="1630" w:hanging="360"/>
      </w:pPr>
      <w:rPr>
        <w:rFonts w:ascii="Century Gothic" w:eastAsia="DecoType Naskh" w:hAnsi="Century Gothic" w:cs="DecoType Naskh" w:hint="default"/>
      </w:rPr>
    </w:lvl>
    <w:lvl w:ilvl="1" w:tplc="080C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8" w15:restartNumberingAfterBreak="0">
    <w:nsid w:val="536C2550"/>
    <w:multiLevelType w:val="hybridMultilevel"/>
    <w:tmpl w:val="49524F10"/>
    <w:lvl w:ilvl="0" w:tplc="AAFAE2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27BDC"/>
    <w:multiLevelType w:val="hybridMultilevel"/>
    <w:tmpl w:val="FDEE282A"/>
    <w:lvl w:ilvl="0" w:tplc="040C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60D7588D"/>
    <w:multiLevelType w:val="singleLevel"/>
    <w:tmpl w:val="656423D0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2"/>
      </w:rPr>
    </w:lvl>
  </w:abstractNum>
  <w:abstractNum w:abstractNumId="21" w15:restartNumberingAfterBreak="0">
    <w:nsid w:val="610E12D3"/>
    <w:multiLevelType w:val="hybridMultilevel"/>
    <w:tmpl w:val="ACFE419E"/>
    <w:lvl w:ilvl="0" w:tplc="3EAC9DB6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90D581F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3" w15:restartNumberingAfterBreak="0">
    <w:nsid w:val="71550EA8"/>
    <w:multiLevelType w:val="multilevel"/>
    <w:tmpl w:val="CCD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78501F1"/>
    <w:multiLevelType w:val="hybridMultilevel"/>
    <w:tmpl w:val="7020FA7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502DB"/>
    <w:multiLevelType w:val="multilevel"/>
    <w:tmpl w:val="7406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4A546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93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26"/>
  </w:num>
  <w:num w:numId="9">
    <w:abstractNumId w:val="21"/>
  </w:num>
  <w:num w:numId="10">
    <w:abstractNumId w:val="24"/>
  </w:num>
  <w:num w:numId="11">
    <w:abstractNumId w:val="2"/>
  </w:num>
  <w:num w:numId="12">
    <w:abstractNumId w:val="15"/>
  </w:num>
  <w:num w:numId="13">
    <w:abstractNumId w:val="13"/>
  </w:num>
  <w:num w:numId="14">
    <w:abstractNumId w:val="4"/>
  </w:num>
  <w:num w:numId="15">
    <w:abstractNumId w:val="23"/>
  </w:num>
  <w:num w:numId="16">
    <w:abstractNumId w:val="3"/>
  </w:num>
  <w:num w:numId="17">
    <w:abstractNumId w:val="8"/>
  </w:num>
  <w:num w:numId="18">
    <w:abstractNumId w:val="17"/>
  </w:num>
  <w:num w:numId="19">
    <w:abstractNumId w:val="25"/>
  </w:num>
  <w:num w:numId="20">
    <w:abstractNumId w:val="11"/>
  </w:num>
  <w:num w:numId="21">
    <w:abstractNumId w:val="20"/>
  </w:num>
  <w:num w:numId="22">
    <w:abstractNumId w:val="14"/>
  </w:num>
  <w:num w:numId="23">
    <w:abstractNumId w:val="9"/>
  </w:num>
  <w:num w:numId="2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25">
    <w:abstractNumId w:val="10"/>
  </w:num>
  <w:num w:numId="26">
    <w:abstractNumId w:val="18"/>
  </w:num>
  <w:num w:numId="27">
    <w:abstractNumId w:val="1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725B8C5-8979-4012-8AA6-9C1285CB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5"/>
      </w:numPr>
      <w:spacing w:before="240" w:after="60"/>
      <w:outlineLvl w:val="3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caps/>
      <w:snapToGrid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  <w:lang w:val="fr-BE"/>
    </w:rPr>
  </w:style>
  <w:style w:type="paragraph" w:customStyle="1" w:styleId="normal01">
    <w:name w:val="normal01"/>
    <w:basedOn w:val="Normal"/>
    <w:pPr>
      <w:widowControl w:val="0"/>
      <w:spacing w:line="240" w:lineRule="atLeast"/>
    </w:pPr>
    <w:rPr>
      <w:rFonts w:ascii="Times New Roman" w:hAnsi="Times New Roman"/>
      <w:sz w:val="22"/>
    </w:rPr>
  </w:style>
  <w:style w:type="paragraph" w:styleId="Retraitcorpsdetexte2">
    <w:name w:val="Body Text Indent 2"/>
    <w:basedOn w:val="Normal"/>
    <w:pPr>
      <w:ind w:left="426"/>
    </w:pPr>
    <w:rPr>
      <w:rFonts w:ascii="Times New Roman" w:hAnsi="Times New Roman"/>
      <w:snapToGrid w:val="0"/>
      <w:sz w:val="22"/>
    </w:rPr>
  </w:style>
  <w:style w:type="paragraph" w:styleId="Retraitcorpsdetexte">
    <w:name w:val="Body Text Indent"/>
    <w:basedOn w:val="Normal"/>
    <w:pPr>
      <w:ind w:left="709"/>
    </w:pPr>
    <w:rPr>
      <w:rFonts w:ascii="Times New Roman" w:hAnsi="Times New Roman"/>
      <w:sz w:val="22"/>
      <w:lang w:val="fr-BE"/>
    </w:rPr>
  </w:style>
  <w:style w:type="paragraph" w:customStyle="1" w:styleId="Texte">
    <w:name w:val="Texte"/>
    <w:basedOn w:val="Normal"/>
    <w:rPr>
      <w:rFonts w:ascii="MS Serif" w:hAnsi="MS Serif"/>
      <w:noProof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ascii="Arial" w:hAnsi="Arial"/>
      <w:sz w:val="24"/>
      <w:lang w:val="fr-FR" w:eastAsia="fr-FR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</w:rPr>
  </w:style>
  <w:style w:type="character" w:customStyle="1" w:styleId="CommentaireCar">
    <w:name w:val="Commentaire Car"/>
    <w:link w:val="Commentaire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rFonts w:ascii="Arial" w:hAnsi="Arial"/>
      <w:b/>
      <w:bCs/>
      <w:lang w:val="fr-FR" w:eastAsia="fr-FR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016">
    <w:name w:val="normal01+6"/>
    <w:basedOn w:val="Default"/>
    <w:next w:val="Default"/>
    <w:uiPriority w:val="99"/>
    <w:rPr>
      <w:rFonts w:ascii="Symbol" w:hAnsi="Symbol"/>
      <w:color w:val="auto"/>
    </w:rPr>
  </w:style>
  <w:style w:type="paragraph" w:customStyle="1" w:styleId="Style15">
    <w:name w:val="Style1+5"/>
    <w:basedOn w:val="Default"/>
    <w:next w:val="Default"/>
    <w:uiPriority w:val="99"/>
    <w:rPr>
      <w:color w:val="auto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fin">
    <w:name w:val="endnote text"/>
    <w:basedOn w:val="Normal"/>
    <w:link w:val="NotedefinCar"/>
    <w:semiHidden/>
    <w:unhideWhenUsed/>
    <w:rPr>
      <w:sz w:val="20"/>
    </w:rPr>
  </w:style>
  <w:style w:type="character" w:customStyle="1" w:styleId="NotedefinCar">
    <w:name w:val="Note de fin Car"/>
    <w:basedOn w:val="Policepardfaut"/>
    <w:link w:val="Notedefin"/>
    <w:semiHidden/>
    <w:rPr>
      <w:rFonts w:ascii="Arial" w:hAnsi="Arial"/>
      <w:lang w:val="fr-FR" w:eastAsia="fr-FR"/>
    </w:rPr>
  </w:style>
  <w:style w:type="character" w:styleId="Appeldenotedefin">
    <w:name w:val="endnote reference"/>
    <w:basedOn w:val="Policepardfaut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extebrut">
    <w:name w:val="Plain Text"/>
    <w:basedOn w:val="Normal"/>
    <w:link w:val="TextebrutCar"/>
    <w:rPr>
      <w:rFonts w:ascii="Courier New" w:hAnsi="Courier New"/>
      <w:sz w:val="20"/>
    </w:rPr>
  </w:style>
  <w:style w:type="character" w:customStyle="1" w:styleId="TextebrutCar">
    <w:name w:val="Texte brut Car"/>
    <w:basedOn w:val="Policepardfaut"/>
    <w:link w:val="Textebrut"/>
    <w:rPr>
      <w:rFonts w:ascii="Courier New" w:hAnsi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79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91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96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B0BF-28A8-4EAF-997D-AE7F338C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1502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ieps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ieps</dc:creator>
  <cp:lastModifiedBy>goulet02</cp:lastModifiedBy>
  <cp:revision>11</cp:revision>
  <cp:lastPrinted>2017-11-06T14:03:00Z</cp:lastPrinted>
  <dcterms:created xsi:type="dcterms:W3CDTF">2018-08-21T13:46:00Z</dcterms:created>
  <dcterms:modified xsi:type="dcterms:W3CDTF">2019-10-10T14:39:00Z</dcterms:modified>
</cp:coreProperties>
</file>