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 xml:space="preserve">ADMINISTRATION GENERALE DE L’ENSEIGNEMENT 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</w:pPr>
    </w:p>
    <w:p/>
    <w:p/>
    <w:p>
      <w:pPr>
        <w:pStyle w:val="Titre2"/>
        <w:rPr>
          <w:caps/>
        </w:rPr>
      </w:pPr>
      <w:r>
        <w:t>UNITE D’ENSEIGNEMENT</w:t>
      </w:r>
      <w:r>
        <w:rPr>
          <w:b w:val="0"/>
          <w:bCs w:val="0"/>
        </w:rPr>
        <w:t xml:space="preserve"> </w:t>
      </w:r>
    </w:p>
    <w:p>
      <w:pPr>
        <w:jc w:val="center"/>
        <w:rPr>
          <w:b/>
          <w:bCs/>
        </w:rPr>
      </w:pPr>
      <w:bookmarkStart w:id="0" w:name="Titre"/>
      <w:bookmarkEnd w:id="0"/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pStyle w:val="Titre2"/>
        <w:rPr>
          <w:caps/>
          <w:sz w:val="28"/>
          <w:szCs w:val="28"/>
        </w:rPr>
      </w:pPr>
      <w:r>
        <w:rPr>
          <w:bCs w:val="0"/>
          <w:sz w:val="32"/>
          <w:szCs w:val="32"/>
        </w:rPr>
        <w:t>ELEMENTS DE COMPTABILITE ET DE FISCALITE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suppressAutoHyphens w:val="0"/>
        <w:jc w:val="center"/>
        <w:rPr>
          <w:b/>
          <w:sz w:val="22"/>
          <w:lang w:eastAsia="fr-FR"/>
        </w:rPr>
      </w:pPr>
      <w:r>
        <w:rPr>
          <w:b/>
          <w:sz w:val="22"/>
          <w:lang w:eastAsia="fr-FR"/>
        </w:rPr>
        <w:t xml:space="preserve">ENSEIGNEMENT </w:t>
      </w:r>
      <w:r>
        <w:rPr>
          <w:b/>
          <w:caps/>
          <w:sz w:val="22"/>
          <w:lang w:eastAsia="fr-FR"/>
        </w:rPr>
        <w:t>supérieur DE TYPE COURT</w:t>
      </w:r>
    </w:p>
    <w:p>
      <w:pPr>
        <w:suppressAutoHyphens w:val="0"/>
        <w:jc w:val="center"/>
        <w:rPr>
          <w:sz w:val="24"/>
          <w:szCs w:val="24"/>
          <w:lang w:eastAsia="fr-FR"/>
        </w:rPr>
      </w:pPr>
    </w:p>
    <w:p>
      <w:pPr>
        <w:suppressAutoHyphens w:val="0"/>
        <w:jc w:val="center"/>
        <w:rPr>
          <w:b/>
          <w:smallCaps/>
          <w:spacing w:val="5"/>
          <w:sz w:val="24"/>
          <w:szCs w:val="24"/>
          <w:lang w:eastAsia="fr-FR"/>
        </w:rPr>
      </w:pPr>
      <w:r>
        <w:rPr>
          <w:b/>
          <w:smallCaps/>
          <w:spacing w:val="5"/>
          <w:sz w:val="24"/>
          <w:szCs w:val="24"/>
          <w:lang w:eastAsia="fr-FR"/>
        </w:rPr>
        <w:t>Domaine : Sciences économiques et de gestion</w:t>
      </w:r>
    </w:p>
    <w:p>
      <w:pPr>
        <w:jc w:val="center"/>
        <w:rPr>
          <w:b/>
          <w:bCs/>
          <w:sz w:val="22"/>
          <w:szCs w:val="22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: 711230 U32 D3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DU DOMAINE DE FORMATION : 702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418" w:right="990" w:bottom="1293" w:left="1418" w:header="720" w:footer="720" w:gutter="0"/>
          <w:cols w:space="720"/>
          <w:docGrid w:linePitch="360"/>
        </w:sectPr>
      </w:pPr>
    </w:p>
    <w:p/>
    <w:p/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06 novembre 2019</w:t>
      </w:r>
      <w:bookmarkStart w:id="1" w:name="_GoBack"/>
      <w:bookmarkEnd w:id="1"/>
      <w:r>
        <w:rPr>
          <w:b/>
        </w:rPr>
        <w:t>,</w:t>
      </w:r>
    </w:p>
    <w:p>
      <w:pPr>
        <w:jc w:val="center"/>
        <w:rPr>
          <w:lang w:val="fr-BE"/>
        </w:rPr>
      </w:pPr>
      <w:r>
        <w:rPr>
          <w:b/>
        </w:rPr>
        <w:t>sur avis conforme du Conseil général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ELEMENTS DE COMPTABILITE ET DE FISCALITE 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enseignement superieur </w:t>
            </w:r>
            <w:bookmarkStart w:id="2" w:name="OLE_LINK1"/>
            <w:bookmarkStart w:id="3" w:name="OLE_LINK2"/>
            <w:r>
              <w:rPr>
                <w:b/>
                <w:caps/>
              </w:rPr>
              <w:t>de type court</w:t>
            </w:r>
            <w:bookmarkEnd w:id="2"/>
            <w:bookmarkEnd w:id="3"/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spacing w:after="120"/>
        <w:rPr>
          <w:b/>
          <w:sz w:val="22"/>
        </w:rPr>
      </w:pPr>
      <w:r>
        <w:rPr>
          <w:b/>
          <w:sz w:val="22"/>
        </w:rPr>
        <w:t>FINALITES DE L’UNITE D’ENSEIGNEMENT</w:t>
      </w:r>
    </w:p>
    <w:p>
      <w:pPr>
        <w:spacing w:after="120"/>
      </w:pPr>
    </w:p>
    <w:p>
      <w:pPr>
        <w:numPr>
          <w:ilvl w:val="1"/>
          <w:numId w:val="2"/>
        </w:numPr>
        <w:tabs>
          <w:tab w:val="left" w:pos="425"/>
          <w:tab w:val="left" w:pos="860"/>
        </w:tabs>
        <w:spacing w:after="120"/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spacing w:after="120"/>
        <w:ind w:left="425"/>
        <w:rPr>
          <w:b/>
          <w:sz w:val="22"/>
        </w:rPr>
      </w:pPr>
    </w:p>
    <w:p>
      <w:pPr>
        <w:suppressAutoHyphens w:val="0"/>
        <w:spacing w:after="120"/>
        <w:ind w:left="420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d’enseignement doit :</w:t>
      </w:r>
    </w:p>
    <w:p>
      <w:pPr>
        <w:numPr>
          <w:ilvl w:val="0"/>
          <w:numId w:val="3"/>
        </w:numPr>
        <w:suppressAutoHyphens w:val="0"/>
        <w:spacing w:after="120"/>
        <w:ind w:left="703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spacing w:after="120"/>
        <w:ind w:left="703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spacing w:after="120"/>
        <w:rPr>
          <w:sz w:val="22"/>
        </w:rPr>
      </w:pPr>
    </w:p>
    <w:p>
      <w:pPr>
        <w:spacing w:after="120"/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spacing w:after="120"/>
        <w:ind w:left="851"/>
        <w:jc w:val="both"/>
        <w:rPr>
          <w:rFonts w:ascii="Times New Roman" w:hAnsi="Times New Roman"/>
          <w:sz w:val="22"/>
        </w:rPr>
      </w:pPr>
    </w:p>
    <w:p>
      <w:pPr>
        <w:spacing w:after="120"/>
        <w:ind w:left="425"/>
        <w:jc w:val="both"/>
        <w:rPr>
          <w:sz w:val="22"/>
          <w:szCs w:val="22"/>
        </w:rPr>
      </w:pPr>
      <w:bookmarkStart w:id="4" w:name="FIP"/>
      <w:bookmarkEnd w:id="4"/>
      <w:r>
        <w:rPr>
          <w:sz w:val="22"/>
          <w:szCs w:val="22"/>
        </w:rPr>
        <w:t>Cette unité d’enseignement vise à permettre à l’étudiant :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d’acquérir des connaissances de base en comptabilité et en fiscalité ; 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la structure du P.C.M.N. (plan comptable minimal normalisé) et les principes de base de la comptabilité en partie double ;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participer à l’élaboration des documents comptables et fiscaux professionnels.</w:t>
      </w:r>
    </w:p>
    <w:p>
      <w:pPr>
        <w:suppressAutoHyphens w:val="0"/>
        <w:spacing w:after="120"/>
        <w:ind w:left="840"/>
        <w:jc w:val="both"/>
        <w:rPr>
          <w:sz w:val="22"/>
          <w:szCs w:val="22"/>
          <w:lang w:val="fr-BE"/>
        </w:rPr>
      </w:pPr>
    </w:p>
    <w:p>
      <w:pPr>
        <w:pStyle w:val="Paragraphedeliste"/>
        <w:spacing w:after="120"/>
        <w:rPr>
          <w:sz w:val="22"/>
          <w:szCs w:val="22"/>
        </w:rPr>
      </w:pPr>
    </w:p>
    <w:p>
      <w:pPr>
        <w:numPr>
          <w:ilvl w:val="0"/>
          <w:numId w:val="2"/>
        </w:numPr>
        <w:spacing w:after="120"/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spacing w:after="120"/>
        <w:rPr>
          <w:sz w:val="22"/>
        </w:rPr>
      </w:pPr>
    </w:p>
    <w:p>
      <w:pPr>
        <w:numPr>
          <w:ilvl w:val="1"/>
          <w:numId w:val="2"/>
        </w:numPr>
        <w:tabs>
          <w:tab w:val="left" w:pos="425"/>
          <w:tab w:val="left" w:pos="860"/>
        </w:tabs>
        <w:spacing w:after="120"/>
        <w:rPr>
          <w:b/>
          <w:sz w:val="22"/>
          <w:szCs w:val="22"/>
        </w:rPr>
      </w:pPr>
      <w:r>
        <w:rPr>
          <w:b/>
          <w:sz w:val="22"/>
        </w:rPr>
        <w:t>Capacités</w:t>
      </w:r>
      <w:bookmarkStart w:id="5" w:name="CPR"/>
      <w:bookmarkEnd w:id="5"/>
    </w:p>
    <w:p>
      <w:pPr>
        <w:spacing w:after="120"/>
        <w:rPr>
          <w:sz w:val="22"/>
        </w:rPr>
      </w:pP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résumer</w:t>
      </w:r>
      <w:r>
        <w:rPr>
          <w:sz w:val="22"/>
        </w:rPr>
        <w:t xml:space="preserve"> les idées essentielles d’un texte d’intérêt général et les critiquer ;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</w:rPr>
      </w:pPr>
      <w:r>
        <w:rPr>
          <w:sz w:val="22"/>
          <w:szCs w:val="22"/>
          <w:lang w:val="fr-BE"/>
        </w:rPr>
        <w:t>produire</w:t>
      </w:r>
      <w:r>
        <w:rPr>
          <w:sz w:val="22"/>
        </w:rPr>
        <w:t xml:space="preserve"> un message structuré qui exprime un avis, une prise de position devant un fait, un événement,... (des documents d’information pouvant être mis à sa disposition).</w:t>
      </w:r>
    </w:p>
    <w:p>
      <w:pPr>
        <w:spacing w:after="120"/>
        <w:rPr>
          <w:sz w:val="22"/>
        </w:rPr>
      </w:pPr>
    </w:p>
    <w:p>
      <w:pPr>
        <w:spacing w:after="120"/>
        <w:ind w:left="851" w:hanging="426"/>
        <w:outlineLvl w:val="0"/>
        <w:rPr>
          <w:b/>
          <w:sz w:val="22"/>
        </w:rPr>
      </w:pPr>
      <w:r>
        <w:rPr>
          <w:b/>
          <w:sz w:val="22"/>
        </w:rPr>
        <w:t>2.2.</w:t>
      </w:r>
      <w:r>
        <w:rPr>
          <w:b/>
          <w:sz w:val="22"/>
        </w:rPr>
        <w:tab/>
        <w:t>Titre pouvant en tenir lieu</w:t>
      </w:r>
    </w:p>
    <w:p>
      <w:pPr>
        <w:spacing w:after="120"/>
        <w:rPr>
          <w:sz w:val="22"/>
        </w:rPr>
      </w:pPr>
    </w:p>
    <w:p>
      <w:pPr>
        <w:spacing w:after="120"/>
        <w:ind w:left="425"/>
        <w:outlineLvl w:val="0"/>
        <w:rPr>
          <w:sz w:val="22"/>
        </w:rPr>
      </w:pPr>
      <w:r>
        <w:rPr>
          <w:sz w:val="22"/>
        </w:rPr>
        <w:t>C.E.S.S.</w:t>
      </w:r>
    </w:p>
    <w:p>
      <w:pPr>
        <w:spacing w:after="120"/>
        <w:ind w:left="851"/>
        <w:outlineLvl w:val="0"/>
        <w:rPr>
          <w:sz w:val="22"/>
        </w:rPr>
      </w:pPr>
    </w:p>
    <w:p>
      <w:pPr>
        <w:spacing w:after="120"/>
        <w:ind w:left="851"/>
        <w:outlineLvl w:val="0"/>
        <w:rPr>
          <w:sz w:val="22"/>
        </w:rPr>
      </w:pPr>
    </w:p>
    <w:p>
      <w:pPr>
        <w:pStyle w:val="Paragraphedeliste"/>
        <w:numPr>
          <w:ilvl w:val="0"/>
          <w:numId w:val="2"/>
        </w:numPr>
        <w:spacing w:after="120"/>
        <w:rPr>
          <w:b/>
          <w:sz w:val="22"/>
        </w:rPr>
      </w:pPr>
      <w:r>
        <w:rPr>
          <w:b/>
          <w:sz w:val="22"/>
        </w:rPr>
        <w:lastRenderedPageBreak/>
        <w:t>ACQUIS D’APPRENTISSAGE</w:t>
      </w:r>
    </w:p>
    <w:p>
      <w:pPr>
        <w:spacing w:after="120"/>
        <w:ind w:left="283" w:hanging="283"/>
        <w:rPr>
          <w:b/>
          <w:sz w:val="22"/>
        </w:rPr>
      </w:pPr>
    </w:p>
    <w:p>
      <w:pPr>
        <w:spacing w:after="120"/>
        <w:ind w:left="360"/>
        <w:jc w:val="both"/>
        <w:rPr>
          <w:b/>
          <w:sz w:val="22"/>
        </w:rPr>
      </w:pPr>
      <w:r>
        <w:rPr>
          <w:b/>
          <w:sz w:val="22"/>
        </w:rPr>
        <w:t xml:space="preserve">Pour atteindre le seuil de réussite, </w:t>
      </w:r>
      <w:r>
        <w:rPr>
          <w:sz w:val="22"/>
        </w:rPr>
        <w:t>l’étudiant sera capable,</w:t>
      </w:r>
      <w:r>
        <w:rPr>
          <w:b/>
          <w:sz w:val="22"/>
        </w:rPr>
        <w:t xml:space="preserve"> </w:t>
      </w:r>
    </w:p>
    <w:p>
      <w:pPr>
        <w:spacing w:after="120"/>
        <w:ind w:left="360"/>
        <w:jc w:val="both"/>
        <w:rPr>
          <w:b/>
          <w:sz w:val="22"/>
        </w:rPr>
      </w:pPr>
    </w:p>
    <w:p>
      <w:pPr>
        <w:pStyle w:val="P11"/>
        <w:spacing w:after="120"/>
        <w:ind w:left="426"/>
        <w:jc w:val="both"/>
        <w:rPr>
          <w:i/>
          <w:sz w:val="22"/>
          <w:szCs w:val="22"/>
        </w:rPr>
      </w:pPr>
      <w:r>
        <w:rPr>
          <w:bCs/>
          <w:i/>
          <w:sz w:val="22"/>
          <w:szCs w:val="22"/>
          <w:lang w:val="fr-BE"/>
        </w:rPr>
        <w:t xml:space="preserve">à </w:t>
      </w:r>
      <w:r>
        <w:rPr>
          <w:bCs/>
          <w:i/>
          <w:sz w:val="22"/>
          <w:szCs w:val="22"/>
        </w:rPr>
        <w:t xml:space="preserve">partir d’une situation issue de la vie professionnelle courante relative à la comptabilité et la fiscalité d’une petite ou moyenne entreprise </w:t>
      </w:r>
      <w:r>
        <w:rPr>
          <w:i/>
          <w:sz w:val="22"/>
          <w:szCs w:val="22"/>
        </w:rPr>
        <w:t>et en exploitant les ressources d’un logiciel comptable utilisé :</w:t>
      </w:r>
    </w:p>
    <w:p>
      <w:pPr>
        <w:pStyle w:val="Default"/>
      </w:pP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d’exploiter et de préparer un dossier périodique comptable et fiscal ;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documenter et d’expliciter la problématique comptable et fiscale ;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présenter des données financières à l’aide de tableaux et graphiques appropriés ;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d’argumenter une piste de solution, le cas échéant en identifiant les acteurs ressources internes ou externes.</w:t>
      </w:r>
    </w:p>
    <w:p>
      <w:pPr>
        <w:pStyle w:val="Default"/>
        <w:spacing w:after="120"/>
        <w:rPr>
          <w:sz w:val="22"/>
          <w:szCs w:val="22"/>
        </w:rPr>
      </w:pPr>
    </w:p>
    <w:p>
      <w:pPr>
        <w:spacing w:after="120"/>
        <w:ind w:left="405"/>
        <w:rPr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 des critères suivants :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du niveau de précision : la clarté, la concision, la rigueur au niveau de la terminologie, des concepts et des techniques/principes/modèles,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du niveau de cohérence : la capacité à établir avec pertinence une majorité de liens logiques pour former un ensemble organisé,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du niveau d’intégration : la capacité à s’approprier des notions, concepts, techniques et démarches en les intégrant dans son analyse, son argumentation, sa pratique ou la recherche de solutions,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du niveau d’autonomie : la capacité de faire preuve d’initiatives démontrant une réflexion personnelle basée sur une exploitation des ressources et des idées en interdépendance avec son environnement.</w:t>
      </w:r>
    </w:p>
    <w:p>
      <w:pPr>
        <w:suppressAutoHyphens w:val="0"/>
        <w:spacing w:after="120"/>
        <w:jc w:val="both"/>
        <w:rPr>
          <w:sz w:val="22"/>
          <w:szCs w:val="22"/>
          <w:lang w:val="fr-BE"/>
        </w:rPr>
      </w:pPr>
    </w:p>
    <w:p>
      <w:pPr>
        <w:suppressAutoHyphens w:val="0"/>
        <w:spacing w:after="120"/>
        <w:jc w:val="both"/>
        <w:rPr>
          <w:sz w:val="22"/>
          <w:szCs w:val="22"/>
          <w:lang w:val="fr-BE"/>
        </w:rPr>
      </w:pPr>
    </w:p>
    <w:p>
      <w:pPr>
        <w:numPr>
          <w:ilvl w:val="0"/>
          <w:numId w:val="2"/>
        </w:numPr>
        <w:spacing w:after="120"/>
        <w:rPr>
          <w:b/>
          <w:sz w:val="22"/>
        </w:rPr>
      </w:pPr>
      <w:r>
        <w:rPr>
          <w:b/>
          <w:sz w:val="22"/>
        </w:rPr>
        <w:t>PROGRAMME</w:t>
      </w:r>
    </w:p>
    <w:p>
      <w:pPr>
        <w:spacing w:after="120"/>
        <w:rPr>
          <w:b/>
          <w:sz w:val="22"/>
        </w:rPr>
      </w:pPr>
    </w:p>
    <w:p>
      <w:pPr>
        <w:pStyle w:val="Normal12"/>
        <w:spacing w:after="120"/>
        <w:ind w:left="426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L’étudiant sera capable : </w:t>
      </w:r>
    </w:p>
    <w:p>
      <w:pPr>
        <w:rPr>
          <w:lang w:eastAsia="fr-FR"/>
        </w:rPr>
      </w:pPr>
    </w:p>
    <w:p>
      <w:pPr>
        <w:pStyle w:val="P11"/>
        <w:spacing w:after="120"/>
        <w:ind w:left="426"/>
        <w:jc w:val="both"/>
        <w:rPr>
          <w:i/>
          <w:sz w:val="22"/>
          <w:szCs w:val="22"/>
        </w:rPr>
      </w:pPr>
      <w:r>
        <w:rPr>
          <w:bCs/>
          <w:i/>
          <w:sz w:val="22"/>
          <w:szCs w:val="22"/>
          <w:lang w:val="fr-BE"/>
        </w:rPr>
        <w:t xml:space="preserve">à </w:t>
      </w:r>
      <w:r>
        <w:rPr>
          <w:bCs/>
          <w:i/>
          <w:sz w:val="22"/>
          <w:szCs w:val="22"/>
        </w:rPr>
        <w:t xml:space="preserve">partir de situations issues de la vie professionnelle courante relative à la comptabilité et la fiscalité d’une petite ou moyenne entreprise </w:t>
      </w:r>
      <w:r>
        <w:rPr>
          <w:i/>
          <w:sz w:val="22"/>
          <w:szCs w:val="22"/>
        </w:rPr>
        <w:t>et en exploitant les ressources d’un logiciel comptable,</w:t>
      </w:r>
    </w:p>
    <w:p>
      <w:pPr>
        <w:pStyle w:val="Default"/>
      </w:pP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s’approprier le vocabulaire comptable et fiscal de base ;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d’identifier, de distinguer et de classer les documents comptables et fiscaux courants ;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la structure du P.C.M.N. (plan comptable minimum normalisé) ;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d’appliquer les mécanismes d’inscription aux comptes d’opérations courantes (comptabilité en partie double) ;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d’appréhender les comptes annuels et d’en repérer les éléments significatifs ;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lastRenderedPageBreak/>
        <w:t xml:space="preserve">de présenter des données financières à l’aide de tableaux et graphiques appropriés ; 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d’appréhender les bases du système fiscal belge en matière de TVA, IPP et ISoc ; 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distinguer le résultat comptable du résultat fiscal ;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repérer les éléments significatifs des avertissements extraits de rôle ;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d’identifier les personnes internes ou externes et organes ressources en matière comptable et fiscale et de préciser leur rôle ; </w:t>
      </w:r>
    </w:p>
    <w:p>
      <w:pPr>
        <w:numPr>
          <w:ilvl w:val="0"/>
          <w:numId w:val="3"/>
        </w:numPr>
        <w:suppressAutoHyphens w:val="0"/>
        <w:spacing w:after="120"/>
        <w:ind w:left="708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d’utiliser les fonctionnalités principales d’un logiciel courant, en comptabilité et en fiscalité. </w:t>
      </w:r>
    </w:p>
    <w:p>
      <w:pPr>
        <w:spacing w:after="120"/>
        <w:ind w:left="709"/>
        <w:jc w:val="both"/>
        <w:rPr>
          <w:b/>
          <w:bCs/>
          <w:iCs/>
          <w:sz w:val="22"/>
          <w:szCs w:val="22"/>
        </w:rPr>
      </w:pPr>
    </w:p>
    <w:p>
      <w:pPr>
        <w:spacing w:after="120"/>
        <w:ind w:left="709"/>
        <w:jc w:val="both"/>
        <w:rPr>
          <w:b/>
          <w:bCs/>
          <w:iCs/>
          <w:sz w:val="22"/>
          <w:szCs w:val="22"/>
        </w:rPr>
      </w:pPr>
    </w:p>
    <w:p>
      <w:pPr>
        <w:numPr>
          <w:ilvl w:val="0"/>
          <w:numId w:val="2"/>
        </w:numPr>
        <w:spacing w:after="120"/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spacing w:after="120"/>
        <w:ind w:left="68"/>
        <w:jc w:val="left"/>
        <w:rPr>
          <w:sz w:val="22"/>
        </w:rPr>
      </w:pPr>
    </w:p>
    <w:p>
      <w:pPr>
        <w:suppressAutoHyphens w:val="0"/>
        <w:spacing w:after="120"/>
        <w:ind w:left="420"/>
        <w:jc w:val="both"/>
        <w:rPr>
          <w:sz w:val="22"/>
          <w:szCs w:val="22"/>
          <w:shd w:val="clear" w:color="auto" w:fill="00B050"/>
        </w:rPr>
      </w:pPr>
      <w:r>
        <w:rPr>
          <w:sz w:val="22"/>
          <w:szCs w:val="22"/>
        </w:rPr>
        <w:t>Le chargé de cours sera un enseignant ou un expert.</w:t>
      </w:r>
    </w:p>
    <w:p>
      <w:pPr>
        <w:suppressAutoHyphens w:val="0"/>
        <w:spacing w:after="120"/>
        <w:ind w:left="420"/>
        <w:jc w:val="both"/>
        <w:rPr>
          <w:sz w:val="22"/>
          <w:szCs w:val="22"/>
        </w:rPr>
      </w:pPr>
      <w:r>
        <w:rPr>
          <w:sz w:val="22"/>
        </w:rPr>
        <w:t>L’expert</w:t>
      </w:r>
      <w:r>
        <w:rPr>
          <w:sz w:val="22"/>
          <w:szCs w:val="22"/>
        </w:rPr>
        <w:t xml:space="preserve"> devra justifier de compétences particulières issues d’une expérience professionnelle actualisée en relation avec la charge de cours qui lui est attribuée.</w:t>
      </w:r>
    </w:p>
    <w:p>
      <w:pPr>
        <w:spacing w:after="120"/>
        <w:jc w:val="both"/>
        <w:rPr>
          <w:sz w:val="22"/>
        </w:rPr>
      </w:pPr>
    </w:p>
    <w:p>
      <w:pPr>
        <w:spacing w:after="120"/>
        <w:jc w:val="both"/>
        <w:rPr>
          <w:sz w:val="22"/>
        </w:rPr>
      </w:pPr>
    </w:p>
    <w:p>
      <w:pPr>
        <w:numPr>
          <w:ilvl w:val="0"/>
          <w:numId w:val="2"/>
        </w:numPr>
        <w:spacing w:after="120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spacing w:after="120"/>
        <w:rPr>
          <w:b/>
          <w:sz w:val="22"/>
        </w:rPr>
      </w:pPr>
    </w:p>
    <w:p>
      <w:pPr>
        <w:suppressAutoHyphens w:val="0"/>
        <w:spacing w:after="120"/>
        <w:ind w:left="420"/>
        <w:jc w:val="both"/>
        <w:rPr>
          <w:sz w:val="22"/>
        </w:rPr>
      </w:pPr>
      <w:r>
        <w:rPr>
          <w:sz w:val="22"/>
        </w:rPr>
        <w:t>Aucune recommandation particulière.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u w:val="single"/>
        </w:rPr>
      </w:pPr>
      <w:r>
        <w:rPr>
          <w:b/>
          <w:sz w:val="22"/>
          <w:u w:val="single"/>
        </w:rPr>
        <w:t>HORAIRE MINIMUM DE L’UNITE D’ENSEIGNEMENT</w:t>
      </w:r>
    </w:p>
    <w:p>
      <w:pPr>
        <w:ind w:left="708" w:hanging="708"/>
        <w:rPr>
          <w:sz w:val="22"/>
        </w:rPr>
      </w:pPr>
    </w:p>
    <w:p>
      <w:pPr>
        <w:ind w:left="708" w:hanging="708"/>
        <w:rPr>
          <w:sz w:val="22"/>
        </w:rPr>
      </w:pPr>
    </w:p>
    <w:tbl>
      <w:tblPr>
        <w:tblW w:w="89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14"/>
        <w:gridCol w:w="1418"/>
        <w:gridCol w:w="1276"/>
        <w:gridCol w:w="1523"/>
      </w:tblGrid>
      <w:tr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Eléments de comptabilité et de fiscalité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c>
          <w:tcPr>
            <w:tcW w:w="4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des périodes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p/>
    <w:sectPr>
      <w:headerReference w:type="default" r:id="rId14"/>
      <w:footerReference w:type="default" r:id="rId15"/>
      <w:footnotePr>
        <w:pos w:val="beneathText"/>
      </w:footnotePr>
      <w:type w:val="continuous"/>
      <w:pgSz w:w="11905" w:h="16837"/>
      <w:pgMar w:top="1418" w:right="1417" w:bottom="1293" w:left="1418" w:header="14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536"/>
        <w:tab w:val="right" w:pos="9072"/>
      </w:tabs>
      <w:rPr>
        <w:rFonts w:eastAsia="Calibri"/>
        <w:color w:val="1F497D" w:themeColor="text2"/>
        <w:sz w:val="18"/>
        <w:szCs w:val="18"/>
      </w:rPr>
    </w:pPr>
    <w:r>
      <w:rPr>
        <w:rFonts w:eastAsia="Calibri"/>
        <w:color w:val="1F497D" w:themeColor="text2"/>
        <w:sz w:val="18"/>
        <w:szCs w:val="18"/>
      </w:rPr>
      <w:t>Bac en Assistant de direction : UE Eléments de comptabilité et de fiscalité</w:t>
    </w:r>
    <w:r>
      <w:rPr>
        <w:rFonts w:eastAsia="Calibri"/>
        <w:color w:val="1F497D" w:themeColor="text2"/>
        <w:sz w:val="18"/>
        <w:szCs w:val="18"/>
      </w:rPr>
      <w:tab/>
      <w:t xml:space="preserve">Page </w:t>
    </w:r>
    <w:r>
      <w:rPr>
        <w:rFonts w:eastAsia="Calibri"/>
        <w:b/>
        <w:bCs/>
        <w:color w:val="1F497D" w:themeColor="text2"/>
        <w:sz w:val="18"/>
        <w:szCs w:val="18"/>
      </w:rPr>
      <w:fldChar w:fldCharType="begin"/>
    </w:r>
    <w:r>
      <w:rPr>
        <w:rFonts w:eastAsia="Calibri"/>
        <w:b/>
        <w:bCs/>
        <w:color w:val="1F497D" w:themeColor="text2"/>
        <w:sz w:val="18"/>
        <w:szCs w:val="18"/>
      </w:rPr>
      <w:instrText>PAGE</w:instrText>
    </w:r>
    <w:r>
      <w:rPr>
        <w:rFonts w:eastAsia="Calibri"/>
        <w:b/>
        <w:bCs/>
        <w:color w:val="1F497D" w:themeColor="text2"/>
        <w:sz w:val="18"/>
        <w:szCs w:val="18"/>
      </w:rPr>
      <w:fldChar w:fldCharType="separate"/>
    </w:r>
    <w:r>
      <w:rPr>
        <w:rFonts w:eastAsia="Calibri"/>
        <w:b/>
        <w:bCs/>
        <w:noProof/>
        <w:color w:val="1F497D" w:themeColor="text2"/>
        <w:sz w:val="18"/>
        <w:szCs w:val="18"/>
      </w:rPr>
      <w:t>2</w:t>
    </w:r>
    <w:r>
      <w:rPr>
        <w:rFonts w:eastAsia="Calibri"/>
        <w:b/>
        <w:bCs/>
        <w:color w:val="1F497D" w:themeColor="text2"/>
        <w:sz w:val="18"/>
        <w:szCs w:val="18"/>
      </w:rPr>
      <w:fldChar w:fldCharType="end"/>
    </w:r>
    <w:r>
      <w:rPr>
        <w:rFonts w:eastAsia="Calibri"/>
        <w:color w:val="1F497D" w:themeColor="text2"/>
        <w:sz w:val="18"/>
        <w:szCs w:val="18"/>
      </w:rPr>
      <w:t xml:space="preserve"> sur </w:t>
    </w:r>
    <w:r>
      <w:rPr>
        <w:rFonts w:eastAsia="Calibri"/>
        <w:b/>
        <w:bCs/>
        <w:color w:val="1F497D" w:themeColor="text2"/>
        <w:sz w:val="18"/>
        <w:szCs w:val="18"/>
      </w:rPr>
      <w:fldChar w:fldCharType="begin"/>
    </w:r>
    <w:r>
      <w:rPr>
        <w:rFonts w:eastAsia="Calibri"/>
        <w:b/>
        <w:bCs/>
        <w:color w:val="1F497D" w:themeColor="text2"/>
        <w:sz w:val="18"/>
        <w:szCs w:val="18"/>
      </w:rPr>
      <w:instrText>NUMPAGES</w:instrText>
    </w:r>
    <w:r>
      <w:rPr>
        <w:rFonts w:eastAsia="Calibri"/>
        <w:b/>
        <w:bCs/>
        <w:color w:val="1F497D" w:themeColor="text2"/>
        <w:sz w:val="18"/>
        <w:szCs w:val="18"/>
      </w:rPr>
      <w:fldChar w:fldCharType="separate"/>
    </w:r>
    <w:r>
      <w:rPr>
        <w:rFonts w:eastAsia="Calibri"/>
        <w:b/>
        <w:bCs/>
        <w:noProof/>
        <w:color w:val="1F497D" w:themeColor="text2"/>
        <w:sz w:val="18"/>
        <w:szCs w:val="18"/>
      </w:rPr>
      <w:t>4</w:t>
    </w:r>
    <w:r>
      <w:rPr>
        <w:rFonts w:eastAsia="Calibri"/>
        <w:b/>
        <w:bCs/>
        <w:color w:val="1F497D" w:themeColor="text2"/>
        <w:sz w:val="18"/>
        <w:szCs w:val="18"/>
      </w:rP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74D12D1"/>
    <w:multiLevelType w:val="hybridMultilevel"/>
    <w:tmpl w:val="30128796"/>
    <w:lvl w:ilvl="0" w:tplc="040C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60C44BA"/>
    <w:multiLevelType w:val="hybridMultilevel"/>
    <w:tmpl w:val="D1AA05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4762E"/>
    <w:multiLevelType w:val="hybridMultilevel"/>
    <w:tmpl w:val="04FA43CC"/>
    <w:lvl w:ilvl="0" w:tplc="FFFFFFFF"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6" w15:restartNumberingAfterBreak="0">
    <w:nsid w:val="2D042066"/>
    <w:multiLevelType w:val="hybridMultilevel"/>
    <w:tmpl w:val="28C439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F3513F2"/>
    <w:multiLevelType w:val="hybridMultilevel"/>
    <w:tmpl w:val="A7FAC2FE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1D1DE3"/>
    <w:multiLevelType w:val="hybridMultilevel"/>
    <w:tmpl w:val="9472726A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C3571"/>
    <w:multiLevelType w:val="singleLevel"/>
    <w:tmpl w:val="863C430C"/>
    <w:lvl w:ilvl="0"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1" w15:restartNumberingAfterBreak="0">
    <w:nsid w:val="54A328E9"/>
    <w:multiLevelType w:val="hybridMultilevel"/>
    <w:tmpl w:val="3D649E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918F7"/>
    <w:multiLevelType w:val="singleLevel"/>
    <w:tmpl w:val="EE6C2534"/>
    <w:lvl w:ilvl="0">
      <w:start w:val="1"/>
      <w:numFmt w:val="bullet"/>
      <w:lvlText w:val="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sz w:val="16"/>
      </w:rPr>
    </w:lvl>
  </w:abstractNum>
  <w:abstractNum w:abstractNumId="13" w15:restartNumberingAfterBreak="0">
    <w:nsid w:val="60992A08"/>
    <w:multiLevelType w:val="singleLevel"/>
    <w:tmpl w:val="26A4AD1C"/>
    <w:lvl w:ilvl="0">
      <w:start w:val="1"/>
      <w:numFmt w:val="bullet"/>
      <w:lvlText w:val="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sz w:val="20"/>
      </w:rPr>
    </w:lvl>
  </w:abstractNum>
  <w:abstractNum w:abstractNumId="14" w15:restartNumberingAfterBreak="0">
    <w:nsid w:val="62B452C7"/>
    <w:multiLevelType w:val="hybridMultilevel"/>
    <w:tmpl w:val="D3AC0412"/>
    <w:lvl w:ilvl="0" w:tplc="FFFFFFFF">
      <w:numFmt w:val="bullet"/>
      <w:lvlText w:val="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A8B2125"/>
    <w:multiLevelType w:val="hybridMultilevel"/>
    <w:tmpl w:val="8B526B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5770C"/>
    <w:multiLevelType w:val="hybridMultilevel"/>
    <w:tmpl w:val="B3C05500"/>
    <w:lvl w:ilvl="0" w:tplc="FFFFFFFF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BEE1D46"/>
    <w:multiLevelType w:val="singleLevel"/>
    <w:tmpl w:val="863C430C"/>
    <w:lvl w:ilvl="0"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8" w15:restartNumberingAfterBreak="0">
    <w:nsid w:val="7C300C7E"/>
    <w:multiLevelType w:val="hybridMultilevel"/>
    <w:tmpl w:val="E31C65B2"/>
    <w:lvl w:ilvl="0" w:tplc="FFFFFFFF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8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5"/>
  </w:num>
  <w:num w:numId="7">
    <w:abstractNumId w:val="17"/>
  </w:num>
  <w:num w:numId="8">
    <w:abstractNumId w:val="10"/>
  </w:num>
  <w:num w:numId="9">
    <w:abstractNumId w:val="12"/>
  </w:num>
  <w:num w:numId="10">
    <w:abstractNumId w:val="14"/>
  </w:num>
  <w:num w:numId="11">
    <w:abstractNumId w:val="9"/>
  </w:num>
  <w:num w:numId="12">
    <w:abstractNumId w:val="13"/>
  </w:num>
  <w:num w:numId="13">
    <w:abstractNumId w:val="6"/>
  </w:num>
  <w:num w:numId="14">
    <w:abstractNumId w:val="4"/>
  </w:num>
  <w:num w:numId="15">
    <w:abstractNumId w:val="15"/>
  </w:num>
  <w:num w:numId="16">
    <w:abstractNumId w:val="2"/>
  </w:num>
  <w:num w:numId="17">
    <w:abstractNumId w:val="11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4BFDBFE-A38F-4F65-9782-B48309E4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eastAsia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Times New Roman" w:hAnsi="Times New Roman" w:cs="Times New Roman"/>
      <w:sz w:val="24"/>
      <w:lang w:val="fr-FR" w:eastAsia="ar-SA" w:bidi="ar-SA"/>
    </w:rPr>
  </w:style>
  <w:style w:type="character" w:customStyle="1" w:styleId="Titre2Car">
    <w:name w:val="Titre 2 Car"/>
    <w:link w:val="Titre2"/>
    <w:uiPriority w:val="99"/>
    <w:locked/>
    <w:rPr>
      <w:rFonts w:ascii="Times New Roman" w:hAnsi="Times New Roman" w:cs="Times New Roman"/>
      <w:b/>
      <w:lang w:val="fr-FR" w:eastAsia="ar-SA" w:bidi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imes New Roman"/>
      <w:b/>
      <w:sz w:val="28"/>
      <w:lang w:val="fr-FR" w:eastAsia="ar-SA" w:bidi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12">
    <w:name w:val="Normal+12"/>
    <w:basedOn w:val="Normal"/>
    <w:next w:val="Normal"/>
    <w:uiPriority w:val="99"/>
    <w:pPr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fr-FR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customStyle="1" w:styleId="P11">
    <w:name w:val="P1+1"/>
    <w:basedOn w:val="Default"/>
    <w:next w:val="Default"/>
    <w:uiPriority w:val="99"/>
    <w:rPr>
      <w:color w:val="auto"/>
    </w:rPr>
  </w:style>
  <w:style w:type="paragraph" w:customStyle="1" w:styleId="Titre31">
    <w:name w:val="Titre 3+1"/>
    <w:basedOn w:val="Default"/>
    <w:next w:val="Default"/>
    <w:uiPriority w:val="99"/>
    <w:rPr>
      <w:color w:val="auto"/>
    </w:rPr>
  </w:style>
  <w:style w:type="paragraph" w:customStyle="1" w:styleId="Corpsdetexte25">
    <w:name w:val="Corps de texte 2+5"/>
    <w:basedOn w:val="Default"/>
    <w:next w:val="Default"/>
    <w:uiPriority w:val="99"/>
    <w:rPr>
      <w:color w:val="auto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3F2E-2136-4841-ABF0-6E32A07C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767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/>
      <vt:lpstr>    DOSSIER PEDAGOGIQUE</vt:lpstr>
      <vt:lpstr/>
      <vt:lpstr>    UNITE D’ENSEIGNEMENT </vt:lpstr>
      <vt:lpstr>    ELEMENTS DE COMPTABILITE ET DE FISCALITE</vt:lpstr>
      <vt:lpstr>Capacités</vt:lpstr>
      <vt:lpstr>2.2.	Titre pouvant en tenir lieu</vt:lpstr>
      <vt:lpstr>C.E.S.S.</vt:lpstr>
      <vt:lpstr/>
    </vt:vector>
  </TitlesOfParts>
  <Company>Institut Ferdinand Cocq Ixelles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goulet02</cp:lastModifiedBy>
  <cp:revision>39</cp:revision>
  <cp:lastPrinted>2013-04-26T12:06:00Z</cp:lastPrinted>
  <dcterms:created xsi:type="dcterms:W3CDTF">2018-03-21T13:38:00Z</dcterms:created>
  <dcterms:modified xsi:type="dcterms:W3CDTF">2019-12-17T09:15:00Z</dcterms:modified>
</cp:coreProperties>
</file>