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548" w:rsidRDefault="00922548">
      <w:pPr>
        <w:pStyle w:val="Texte"/>
        <w:jc w:val="center"/>
        <w:rPr>
          <w:rFonts w:ascii="Times New Roman" w:hAnsi="Times New Roman"/>
          <w:b/>
          <w:noProof w:val="0"/>
          <w:sz w:val="22"/>
        </w:rPr>
      </w:pPr>
      <w:r>
        <w:rPr>
          <w:rFonts w:ascii="Times New Roman" w:hAnsi="Times New Roman"/>
          <w:b/>
          <w:noProof w:val="0"/>
          <w:sz w:val="22"/>
        </w:rPr>
        <w:t xml:space="preserve">MINISTERE DE </w:t>
      </w:r>
      <w:smartTag w:uri="urn:schemas-microsoft-com:office:smarttags" w:element="PersonName">
        <w:smartTagPr>
          <w:attr w:name="ProductID" w:val="LA COMMUNAUTE FRANCAISE"/>
        </w:smartTagPr>
        <w:r>
          <w:rPr>
            <w:rFonts w:ascii="Times New Roman" w:hAnsi="Times New Roman"/>
            <w:b/>
            <w:noProof w:val="0"/>
            <w:sz w:val="22"/>
          </w:rPr>
          <w:t>LA COMMUNAUTE FRANCAISE</w:t>
        </w:r>
      </w:smartTag>
    </w:p>
    <w:p w:rsidR="00922548" w:rsidRDefault="00922548">
      <w:pPr>
        <w:pStyle w:val="Texte"/>
        <w:jc w:val="center"/>
        <w:rPr>
          <w:rFonts w:ascii="Times New Roman" w:hAnsi="Times New Roman"/>
          <w:b/>
          <w:noProof w:val="0"/>
          <w:sz w:val="22"/>
        </w:rPr>
      </w:pPr>
    </w:p>
    <w:p w:rsidR="00922548" w:rsidRDefault="00922548">
      <w:pPr>
        <w:pStyle w:val="Texte"/>
        <w:jc w:val="center"/>
        <w:rPr>
          <w:rFonts w:ascii="Times New Roman" w:hAnsi="Times New Roman"/>
          <w:b/>
          <w:noProof w:val="0"/>
          <w:sz w:val="18"/>
        </w:rPr>
      </w:pPr>
      <w:r>
        <w:rPr>
          <w:rFonts w:ascii="Times New Roman" w:hAnsi="Times New Roman"/>
          <w:b/>
          <w:noProof w:val="0"/>
          <w:sz w:val="18"/>
        </w:rPr>
        <w:t xml:space="preserve">ADMINISTRATION GENERALE DE L’ENSEIGNEMENT </w:t>
      </w:r>
    </w:p>
    <w:p w:rsidR="00922548" w:rsidRDefault="00922548">
      <w:pPr>
        <w:pStyle w:val="Texte"/>
        <w:jc w:val="center"/>
        <w:rPr>
          <w:rFonts w:ascii="Times New Roman" w:hAnsi="Times New Roman"/>
          <w:noProof w:val="0"/>
          <w:sz w:val="22"/>
        </w:rPr>
      </w:pPr>
    </w:p>
    <w:p w:rsidR="00922548" w:rsidRDefault="00922548">
      <w:pPr>
        <w:pStyle w:val="Texte"/>
        <w:jc w:val="center"/>
        <w:rPr>
          <w:rFonts w:ascii="Times New Roman" w:hAnsi="Times New Roman"/>
          <w:b/>
          <w:noProof w:val="0"/>
          <w:sz w:val="22"/>
        </w:rPr>
      </w:pPr>
      <w:r>
        <w:rPr>
          <w:rFonts w:ascii="Times New Roman" w:hAnsi="Times New Roman"/>
          <w:b/>
          <w:noProof w:val="0"/>
          <w:sz w:val="22"/>
        </w:rPr>
        <w:t xml:space="preserve">ENSEIGNEMENT DE PROMOTION SOCIALE </w:t>
      </w:r>
    </w:p>
    <w:p w:rsidR="00922548" w:rsidRDefault="00922548"/>
    <w:p w:rsidR="00922548" w:rsidRDefault="00922548"/>
    <w:p w:rsidR="00922548" w:rsidRDefault="00922548"/>
    <w:p w:rsidR="00922548" w:rsidRDefault="00922548"/>
    <w:p w:rsidR="00922548" w:rsidRDefault="00922548"/>
    <w:p w:rsidR="00922548" w:rsidRDefault="00922548"/>
    <w:p w:rsidR="00922548" w:rsidRDefault="00922548"/>
    <w:p w:rsidR="00922548" w:rsidRDefault="00922548"/>
    <w:p w:rsidR="00922548" w:rsidRDefault="00922548"/>
    <w:p w:rsidR="00922548" w:rsidRDefault="00922548"/>
    <w:p w:rsidR="00922548" w:rsidRDefault="00922548"/>
    <w:p w:rsidR="00922548" w:rsidRDefault="00922548"/>
    <w:p w:rsidR="00922548" w:rsidRDefault="00922548"/>
    <w:p w:rsidR="00922548" w:rsidRDefault="00922548"/>
    <w:p w:rsidR="00922548" w:rsidRDefault="00922548"/>
    <w:p w:rsidR="00922548" w:rsidRDefault="00922548"/>
    <w:p w:rsidR="00922548" w:rsidRDefault="00922548"/>
    <w:p w:rsidR="00922548" w:rsidRDefault="00922548"/>
    <w:p w:rsidR="00922548" w:rsidRDefault="00922548"/>
    <w:p w:rsidR="00922548" w:rsidRDefault="00922548"/>
    <w:p w:rsidR="00922548" w:rsidRDefault="00922548"/>
    <w:p w:rsidR="00922548" w:rsidRDefault="00922548"/>
    <w:p w:rsidR="00922548" w:rsidRDefault="00922548">
      <w:pPr>
        <w:pStyle w:val="Texte"/>
        <w:ind w:left="2269" w:right="2602"/>
        <w:jc w:val="center"/>
        <w:rPr>
          <w:rFonts w:ascii="Times New Roman" w:hAnsi="Times New Roman"/>
          <w:b/>
          <w:noProof w:val="0"/>
          <w:sz w:val="28"/>
        </w:rPr>
      </w:pPr>
    </w:p>
    <w:p w:rsidR="00922548" w:rsidRDefault="00922548">
      <w:pPr>
        <w:pStyle w:val="Texte"/>
        <w:ind w:left="2269" w:right="2602"/>
        <w:jc w:val="center"/>
        <w:rPr>
          <w:rFonts w:ascii="Times New Roman" w:hAnsi="Times New Roman"/>
          <w:b/>
          <w:noProof w:val="0"/>
          <w:sz w:val="28"/>
        </w:rPr>
      </w:pPr>
      <w:r>
        <w:rPr>
          <w:rFonts w:ascii="Times New Roman" w:hAnsi="Times New Roman"/>
          <w:b/>
          <w:noProof w:val="0"/>
          <w:sz w:val="28"/>
        </w:rPr>
        <w:t>DOSSIER PEDAGOGIQUE</w:t>
      </w:r>
    </w:p>
    <w:p w:rsidR="00922548" w:rsidRDefault="00922548">
      <w:pPr>
        <w:pStyle w:val="Texte"/>
        <w:ind w:left="2269" w:right="2602"/>
        <w:jc w:val="center"/>
        <w:rPr>
          <w:rFonts w:ascii="Times New Roman" w:hAnsi="Times New Roman"/>
          <w:b/>
          <w:noProof w:val="0"/>
          <w:sz w:val="28"/>
        </w:rPr>
      </w:pPr>
    </w:p>
    <w:p w:rsidR="00922548" w:rsidRDefault="00922548"/>
    <w:p w:rsidR="00922548" w:rsidRDefault="00922548"/>
    <w:p w:rsidR="00922548" w:rsidRDefault="00922548">
      <w:pPr>
        <w:jc w:val="center"/>
        <w:rPr>
          <w:b/>
          <w:sz w:val="22"/>
        </w:rPr>
      </w:pPr>
      <w:r>
        <w:rPr>
          <w:b/>
          <w:sz w:val="22"/>
        </w:rPr>
        <w:t>UNITE D’ENSEIGNEMENT</w:t>
      </w:r>
    </w:p>
    <w:p w:rsidR="00922548" w:rsidRDefault="00922548">
      <w:pPr>
        <w:jc w:val="center"/>
        <w:rPr>
          <w:sz w:val="22"/>
        </w:rPr>
      </w:pPr>
    </w:p>
    <w:p w:rsidR="00922548" w:rsidRDefault="00922548">
      <w:pPr>
        <w:jc w:val="center"/>
        <w:rPr>
          <w:b/>
          <w:caps/>
          <w:sz w:val="28"/>
        </w:rPr>
      </w:pPr>
      <w:r>
        <w:rPr>
          <w:b/>
          <w:caps/>
          <w:sz w:val="28"/>
        </w:rPr>
        <w:t xml:space="preserve">comptabilite analytique : </w:t>
      </w:r>
    </w:p>
    <w:p w:rsidR="00922548" w:rsidRDefault="00922548">
      <w:pPr>
        <w:jc w:val="center"/>
        <w:rPr>
          <w:b/>
          <w:caps/>
          <w:sz w:val="28"/>
        </w:rPr>
      </w:pPr>
      <w:r>
        <w:rPr>
          <w:b/>
          <w:caps/>
          <w:sz w:val="28"/>
        </w:rPr>
        <w:t>principes et fondements</w:t>
      </w:r>
    </w:p>
    <w:p w:rsidR="00922548" w:rsidRDefault="00922548">
      <w:pPr>
        <w:jc w:val="center"/>
      </w:pPr>
    </w:p>
    <w:p w:rsidR="00922548" w:rsidRDefault="00922548">
      <w:pPr>
        <w:jc w:val="center"/>
      </w:pPr>
    </w:p>
    <w:p w:rsidR="00922548" w:rsidRDefault="00922548">
      <w:pPr>
        <w:snapToGrid w:val="0"/>
        <w:jc w:val="center"/>
        <w:rPr>
          <w:b/>
          <w:sz w:val="22"/>
        </w:rPr>
      </w:pPr>
      <w:r>
        <w:rPr>
          <w:b/>
          <w:sz w:val="22"/>
        </w:rPr>
        <w:t xml:space="preserve">ENSEIGNEMENT </w:t>
      </w:r>
      <w:r>
        <w:rPr>
          <w:b/>
          <w:caps/>
          <w:sz w:val="22"/>
        </w:rPr>
        <w:t>supérieur DE TYPE COURT</w:t>
      </w:r>
    </w:p>
    <w:p w:rsidR="00922548" w:rsidRDefault="00922548">
      <w:pPr>
        <w:snapToGrid w:val="0"/>
        <w:jc w:val="center"/>
        <w:rPr>
          <w:sz w:val="24"/>
          <w:szCs w:val="24"/>
        </w:rPr>
      </w:pPr>
    </w:p>
    <w:p w:rsidR="00922548" w:rsidRDefault="00922548">
      <w:pPr>
        <w:snapToGrid w:val="0"/>
        <w:jc w:val="center"/>
        <w:rPr>
          <w:b/>
          <w:smallCaps/>
          <w:spacing w:val="5"/>
          <w:sz w:val="24"/>
          <w:szCs w:val="24"/>
        </w:rPr>
      </w:pPr>
      <w:r>
        <w:rPr>
          <w:b/>
          <w:smallCaps/>
          <w:spacing w:val="5"/>
          <w:sz w:val="24"/>
          <w:szCs w:val="24"/>
        </w:rPr>
        <w:t>Domaine : Sciences économiques et de gestion</w:t>
      </w:r>
    </w:p>
    <w:p w:rsidR="00922548" w:rsidRDefault="00922548">
      <w:pPr>
        <w:jc w:val="center"/>
      </w:pPr>
    </w:p>
    <w:p w:rsidR="00922548" w:rsidRDefault="00922548">
      <w:pPr>
        <w:jc w:val="center"/>
      </w:pPr>
    </w:p>
    <w:tbl>
      <w:tblPr>
        <w:tblW w:w="0" w:type="auto"/>
        <w:tblInd w:w="1772"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5529"/>
      </w:tblGrid>
      <w:tr w:rsidR="00922548">
        <w:tc>
          <w:tcPr>
            <w:tcW w:w="5529" w:type="dxa"/>
          </w:tcPr>
          <w:p w:rsidR="00922548" w:rsidRDefault="00922548">
            <w:pPr>
              <w:pStyle w:val="Texte"/>
              <w:jc w:val="center"/>
              <w:rPr>
                <w:rFonts w:ascii="Times New Roman" w:hAnsi="Times New Roman"/>
                <w:b/>
                <w:noProof w:val="0"/>
                <w:sz w:val="22"/>
              </w:rPr>
            </w:pPr>
          </w:p>
          <w:p w:rsidR="00922548" w:rsidRDefault="00922548">
            <w:pPr>
              <w:pStyle w:val="Texte"/>
              <w:jc w:val="center"/>
              <w:rPr>
                <w:rFonts w:ascii="Times New Roman" w:hAnsi="Times New Roman"/>
                <w:b/>
                <w:noProof w:val="0"/>
                <w:sz w:val="22"/>
              </w:rPr>
            </w:pPr>
            <w:r>
              <w:rPr>
                <w:rFonts w:ascii="Times New Roman" w:hAnsi="Times New Roman"/>
                <w:b/>
                <w:noProof w:val="0"/>
                <w:sz w:val="22"/>
              </w:rPr>
              <w:t>CODE : 711301U32D1</w:t>
            </w:r>
          </w:p>
        </w:tc>
      </w:tr>
      <w:tr w:rsidR="00922548">
        <w:tc>
          <w:tcPr>
            <w:tcW w:w="5529" w:type="dxa"/>
          </w:tcPr>
          <w:p w:rsidR="00922548" w:rsidRDefault="00922548">
            <w:pPr>
              <w:pStyle w:val="Texte"/>
              <w:jc w:val="center"/>
              <w:rPr>
                <w:rFonts w:ascii="Times New Roman" w:hAnsi="Times New Roman"/>
                <w:b/>
                <w:noProof w:val="0"/>
                <w:sz w:val="22"/>
              </w:rPr>
            </w:pPr>
            <w:r>
              <w:rPr>
                <w:rFonts w:ascii="Times New Roman" w:hAnsi="Times New Roman"/>
                <w:b/>
                <w:noProof w:val="0"/>
                <w:sz w:val="22"/>
              </w:rPr>
              <w:t>CODE DU DOMAINE DE FORMATION : 702</w:t>
            </w:r>
          </w:p>
        </w:tc>
      </w:tr>
      <w:tr w:rsidR="00922548">
        <w:tc>
          <w:tcPr>
            <w:tcW w:w="5529" w:type="dxa"/>
          </w:tcPr>
          <w:p w:rsidR="00922548" w:rsidRDefault="00922548">
            <w:pPr>
              <w:pStyle w:val="Texte"/>
              <w:jc w:val="center"/>
              <w:rPr>
                <w:rFonts w:ascii="Times New Roman" w:hAnsi="Times New Roman"/>
                <w:b/>
                <w:noProof w:val="0"/>
                <w:sz w:val="22"/>
              </w:rPr>
            </w:pPr>
            <w:r>
              <w:rPr>
                <w:rFonts w:ascii="Times New Roman" w:hAnsi="Times New Roman"/>
                <w:b/>
                <w:noProof w:val="0"/>
                <w:sz w:val="22"/>
              </w:rPr>
              <w:t>DOCUMENT DE REFERENCE INTER-RESEAUX</w:t>
            </w:r>
          </w:p>
          <w:p w:rsidR="00922548" w:rsidRDefault="00922548">
            <w:pPr>
              <w:pStyle w:val="Texte"/>
              <w:jc w:val="center"/>
              <w:rPr>
                <w:rFonts w:ascii="Times New Roman" w:hAnsi="Times New Roman"/>
                <w:noProof w:val="0"/>
                <w:sz w:val="22"/>
              </w:rPr>
            </w:pPr>
          </w:p>
        </w:tc>
      </w:tr>
    </w:tbl>
    <w:p w:rsidR="00922548" w:rsidRDefault="00922548">
      <w:pPr>
        <w:jc w:val="center"/>
      </w:pPr>
    </w:p>
    <w:p w:rsidR="00922548" w:rsidRDefault="00922548">
      <w:pPr>
        <w:jc w:val="center"/>
      </w:pPr>
    </w:p>
    <w:p w:rsidR="00922548" w:rsidRDefault="00922548">
      <w:pPr>
        <w:jc w:val="center"/>
      </w:pPr>
    </w:p>
    <w:p w:rsidR="00922548" w:rsidRDefault="00922548">
      <w:pPr>
        <w:jc w:val="center"/>
      </w:pPr>
    </w:p>
    <w:p w:rsidR="00922548" w:rsidRDefault="00922548">
      <w:pPr>
        <w:jc w:val="center"/>
        <w:rPr>
          <w:b/>
        </w:rPr>
      </w:pPr>
      <w:r>
        <w:rPr>
          <w:b/>
        </w:rPr>
        <w:t>Approbation du Gouvernement de la Communauté française du 8 juillet 1999,</w:t>
      </w:r>
    </w:p>
    <w:p w:rsidR="00922548" w:rsidRDefault="00922548">
      <w:pPr>
        <w:jc w:val="center"/>
        <w:rPr>
          <w:b/>
        </w:rPr>
      </w:pPr>
      <w:r>
        <w:rPr>
          <w:b/>
        </w:rPr>
        <w:t>sur avis conforme de la Commission de concertation</w:t>
      </w:r>
    </w:p>
    <w:p w:rsidR="00922548" w:rsidRDefault="00922548">
      <w:pPr>
        <w:jc w:val="center"/>
        <w:rPr>
          <w:b/>
        </w:rPr>
      </w:pPr>
      <w:r>
        <w:rPr>
          <w:b/>
        </w:rPr>
        <w:br w:type="page"/>
      </w:r>
    </w:p>
    <w:tbl>
      <w:tblPr>
        <w:tblW w:w="0" w:type="auto"/>
        <w:tblBorders>
          <w:top w:val="single" w:sz="6" w:space="0" w:color="auto"/>
          <w:left w:val="single" w:sz="6" w:space="0" w:color="auto"/>
          <w:bottom w:val="single" w:sz="36" w:space="0" w:color="auto"/>
          <w:right w:val="single" w:sz="36" w:space="0" w:color="auto"/>
        </w:tblBorders>
        <w:tblLayout w:type="fixed"/>
        <w:tblCellMar>
          <w:left w:w="70" w:type="dxa"/>
          <w:right w:w="70" w:type="dxa"/>
        </w:tblCellMar>
        <w:tblLook w:val="0000" w:firstRow="0" w:lastRow="0" w:firstColumn="0" w:lastColumn="0" w:noHBand="0" w:noVBand="0"/>
      </w:tblPr>
      <w:tblGrid>
        <w:gridCol w:w="9212"/>
      </w:tblGrid>
      <w:tr w:rsidR="00922548">
        <w:tc>
          <w:tcPr>
            <w:tcW w:w="9212" w:type="dxa"/>
          </w:tcPr>
          <w:p w:rsidR="00922548" w:rsidRDefault="00922548">
            <w:pPr>
              <w:jc w:val="center"/>
              <w:rPr>
                <w:b/>
              </w:rPr>
            </w:pPr>
            <w:r>
              <w:rPr>
                <w:b/>
                <w:sz w:val="28"/>
              </w:rPr>
              <w:br w:type="page"/>
            </w:r>
          </w:p>
          <w:p w:rsidR="00922548" w:rsidRDefault="00922548">
            <w:pPr>
              <w:jc w:val="center"/>
              <w:rPr>
                <w:b/>
                <w:sz w:val="28"/>
              </w:rPr>
            </w:pPr>
            <w:r>
              <w:rPr>
                <w:b/>
                <w:caps/>
                <w:sz w:val="28"/>
              </w:rPr>
              <w:t>comptabilite analytique : principes et fondements</w:t>
            </w:r>
          </w:p>
          <w:p w:rsidR="00922548" w:rsidRDefault="00922548">
            <w:pPr>
              <w:jc w:val="center"/>
              <w:rPr>
                <w:b/>
                <w:sz w:val="28"/>
              </w:rPr>
            </w:pPr>
          </w:p>
          <w:p w:rsidR="00922548" w:rsidRDefault="00922548">
            <w:pPr>
              <w:jc w:val="center"/>
              <w:rPr>
                <w:b/>
                <w:caps/>
              </w:rPr>
            </w:pPr>
            <w:r>
              <w:rPr>
                <w:b/>
                <w:caps/>
              </w:rPr>
              <w:t>enseignement superieur de type court</w:t>
            </w:r>
          </w:p>
          <w:p w:rsidR="00922548" w:rsidRDefault="00922548">
            <w:pPr>
              <w:jc w:val="center"/>
              <w:rPr>
                <w:b/>
                <w:caps/>
              </w:rPr>
            </w:pPr>
          </w:p>
          <w:p w:rsidR="00922548" w:rsidRDefault="00922548">
            <w:pPr>
              <w:jc w:val="center"/>
              <w:rPr>
                <w:b/>
                <w:sz w:val="28"/>
              </w:rPr>
            </w:pPr>
          </w:p>
        </w:tc>
      </w:tr>
    </w:tbl>
    <w:p w:rsidR="00922548" w:rsidRDefault="00922548"/>
    <w:p w:rsidR="00922548" w:rsidRDefault="00922548"/>
    <w:p w:rsidR="00922548" w:rsidRDefault="00922548">
      <w:pPr>
        <w:rPr>
          <w:b/>
          <w:sz w:val="22"/>
        </w:rPr>
      </w:pPr>
      <w:r>
        <w:rPr>
          <w:b/>
          <w:sz w:val="22"/>
        </w:rPr>
        <w:t>1.</w:t>
      </w:r>
      <w:r>
        <w:rPr>
          <w:b/>
          <w:sz w:val="22"/>
        </w:rPr>
        <w:tab/>
        <w:t>FINALITES DE L’UNITE D’ENSEIGNEMENT</w:t>
      </w:r>
    </w:p>
    <w:p w:rsidR="00922548" w:rsidRDefault="00922548"/>
    <w:p w:rsidR="00922548" w:rsidRDefault="00922548">
      <w:pPr>
        <w:ind w:left="425"/>
        <w:rPr>
          <w:b/>
          <w:sz w:val="22"/>
        </w:rPr>
      </w:pPr>
      <w:r>
        <w:rPr>
          <w:b/>
          <w:sz w:val="22"/>
        </w:rPr>
        <w:t>1.1.</w:t>
      </w:r>
      <w:r>
        <w:rPr>
          <w:b/>
          <w:sz w:val="22"/>
        </w:rPr>
        <w:tab/>
        <w:t>Finalités générales</w:t>
      </w:r>
    </w:p>
    <w:p w:rsidR="00922548" w:rsidRDefault="00922548">
      <w:pPr>
        <w:rPr>
          <w:sz w:val="22"/>
        </w:rPr>
      </w:pPr>
    </w:p>
    <w:p w:rsidR="00922548" w:rsidRDefault="00922548">
      <w:pPr>
        <w:ind w:left="851"/>
        <w:jc w:val="both"/>
        <w:rPr>
          <w:sz w:val="22"/>
        </w:rPr>
      </w:pPr>
      <w:r>
        <w:rPr>
          <w:sz w:val="22"/>
        </w:rPr>
        <w:t>Conformément à l’article 7 du décret de la Communauté française du 16 avril 1991 organisant l'enseignement de promotion sociale, cette unité d’enseignement doit :</w:t>
      </w:r>
    </w:p>
    <w:p w:rsidR="00922548" w:rsidRDefault="00922548">
      <w:pPr>
        <w:jc w:val="both"/>
        <w:rPr>
          <w:sz w:val="22"/>
        </w:rPr>
      </w:pPr>
    </w:p>
    <w:p w:rsidR="00922548" w:rsidRDefault="00922548">
      <w:pPr>
        <w:numPr>
          <w:ilvl w:val="0"/>
          <w:numId w:val="1"/>
        </w:numPr>
        <w:jc w:val="both"/>
        <w:rPr>
          <w:sz w:val="22"/>
        </w:rPr>
      </w:pPr>
      <w:r>
        <w:rPr>
          <w:sz w:val="22"/>
        </w:rPr>
        <w:t>concourir à l’épanouissement individuel en promouvant une meilleure insertion professionnelle, sociale, culturelle et scolaire ;</w:t>
      </w:r>
    </w:p>
    <w:p w:rsidR="00922548" w:rsidRDefault="00922548">
      <w:pPr>
        <w:numPr>
          <w:ilvl w:val="12"/>
          <w:numId w:val="0"/>
        </w:numPr>
        <w:ind w:left="1134" w:hanging="283"/>
        <w:jc w:val="both"/>
        <w:rPr>
          <w:sz w:val="22"/>
        </w:rPr>
      </w:pPr>
    </w:p>
    <w:p w:rsidR="00922548" w:rsidRDefault="00922548">
      <w:pPr>
        <w:numPr>
          <w:ilvl w:val="0"/>
          <w:numId w:val="1"/>
        </w:numPr>
        <w:jc w:val="both"/>
        <w:rPr>
          <w:sz w:val="22"/>
        </w:rPr>
      </w:pPr>
      <w:r>
        <w:rPr>
          <w:sz w:val="22"/>
        </w:rPr>
        <w:t>répondre aux besoins et demandes en formation émanant des entreprises, des administrations, de l’enseignement et d’une manière générale des milieux socio-économiques et culturels.</w:t>
      </w:r>
    </w:p>
    <w:p w:rsidR="00922548" w:rsidRDefault="00922548">
      <w:pPr>
        <w:rPr>
          <w:sz w:val="22"/>
        </w:rPr>
      </w:pPr>
    </w:p>
    <w:p w:rsidR="00922548" w:rsidRDefault="00922548">
      <w:pPr>
        <w:ind w:left="425"/>
        <w:rPr>
          <w:b/>
          <w:sz w:val="22"/>
        </w:rPr>
      </w:pPr>
      <w:r>
        <w:rPr>
          <w:b/>
          <w:sz w:val="22"/>
        </w:rPr>
        <w:t>1.2.</w:t>
      </w:r>
      <w:r>
        <w:rPr>
          <w:b/>
          <w:sz w:val="22"/>
        </w:rPr>
        <w:tab/>
        <w:t>Finalités particulières</w:t>
      </w:r>
    </w:p>
    <w:p w:rsidR="00922548" w:rsidRDefault="00922548">
      <w:pPr>
        <w:rPr>
          <w:sz w:val="22"/>
        </w:rPr>
      </w:pPr>
    </w:p>
    <w:p w:rsidR="00922548" w:rsidRDefault="00922548">
      <w:pPr>
        <w:numPr>
          <w:ilvl w:val="12"/>
          <w:numId w:val="0"/>
        </w:numPr>
        <w:ind w:left="851"/>
        <w:rPr>
          <w:sz w:val="22"/>
        </w:rPr>
      </w:pPr>
      <w:r>
        <w:rPr>
          <w:sz w:val="22"/>
        </w:rPr>
        <w:t>L'unité d’enseignement vise à permettre à l'étudiant,</w:t>
      </w:r>
    </w:p>
    <w:p w:rsidR="00922548" w:rsidRDefault="00922548">
      <w:pPr>
        <w:numPr>
          <w:ilvl w:val="12"/>
          <w:numId w:val="0"/>
        </w:numPr>
        <w:ind w:left="851"/>
        <w:rPr>
          <w:sz w:val="22"/>
        </w:rPr>
      </w:pPr>
    </w:p>
    <w:p w:rsidR="00922548" w:rsidRDefault="00922548">
      <w:pPr>
        <w:ind w:left="851"/>
        <w:jc w:val="both"/>
        <w:rPr>
          <w:b/>
          <w:sz w:val="22"/>
        </w:rPr>
      </w:pPr>
      <w:r>
        <w:rPr>
          <w:b/>
          <w:sz w:val="22"/>
        </w:rPr>
        <w:t>sur le plan des comportements professionnels :</w:t>
      </w:r>
    </w:p>
    <w:p w:rsidR="00922548" w:rsidRDefault="00922548">
      <w:pPr>
        <w:ind w:left="851"/>
        <w:jc w:val="both"/>
        <w:rPr>
          <w:b/>
          <w:sz w:val="22"/>
        </w:rPr>
      </w:pPr>
    </w:p>
    <w:p w:rsidR="00922548" w:rsidRDefault="00922548">
      <w:pPr>
        <w:numPr>
          <w:ilvl w:val="0"/>
          <w:numId w:val="3"/>
        </w:numPr>
        <w:tabs>
          <w:tab w:val="left" w:pos="284"/>
        </w:tabs>
        <w:jc w:val="both"/>
        <w:rPr>
          <w:sz w:val="22"/>
        </w:rPr>
      </w:pPr>
      <w:r>
        <w:rPr>
          <w:sz w:val="22"/>
        </w:rPr>
        <w:t>d’adopter des attitudes déontologiques en rapport avec l'aspect confidentiel éventuel des informations traitées ;</w:t>
      </w:r>
    </w:p>
    <w:p w:rsidR="00922548" w:rsidRDefault="00922548">
      <w:pPr>
        <w:numPr>
          <w:ilvl w:val="0"/>
          <w:numId w:val="3"/>
        </w:numPr>
        <w:tabs>
          <w:tab w:val="left" w:pos="284"/>
        </w:tabs>
        <w:jc w:val="both"/>
        <w:rPr>
          <w:sz w:val="22"/>
        </w:rPr>
      </w:pPr>
    </w:p>
    <w:p w:rsidR="00922548" w:rsidRDefault="00922548">
      <w:pPr>
        <w:ind w:left="851"/>
        <w:jc w:val="both"/>
        <w:rPr>
          <w:b/>
          <w:sz w:val="22"/>
        </w:rPr>
      </w:pPr>
      <w:r>
        <w:rPr>
          <w:b/>
          <w:sz w:val="22"/>
        </w:rPr>
        <w:t>sur le plan des compétences professionnelles :</w:t>
      </w:r>
    </w:p>
    <w:p w:rsidR="00922548" w:rsidRDefault="00922548">
      <w:pPr>
        <w:ind w:left="851"/>
        <w:jc w:val="both"/>
        <w:rPr>
          <w:b/>
          <w:sz w:val="22"/>
        </w:rPr>
      </w:pPr>
    </w:p>
    <w:p w:rsidR="00922548" w:rsidRDefault="00922548">
      <w:pPr>
        <w:numPr>
          <w:ilvl w:val="0"/>
          <w:numId w:val="1"/>
        </w:numPr>
        <w:rPr>
          <w:sz w:val="22"/>
        </w:rPr>
      </w:pPr>
      <w:r>
        <w:rPr>
          <w:sz w:val="22"/>
        </w:rPr>
        <w:t xml:space="preserve">d'identifier les buts et le fonctionnement de la comptabilité analytique d'exploitation ainsi que les différentes procédures à mettre en </w:t>
      </w:r>
      <w:r w:rsidR="00CD790E">
        <w:rPr>
          <w:sz w:val="22"/>
        </w:rPr>
        <w:t>œuvre</w:t>
      </w:r>
      <w:r>
        <w:rPr>
          <w:sz w:val="22"/>
        </w:rPr>
        <w:t xml:space="preserve"> pour y répondre ;</w:t>
      </w:r>
    </w:p>
    <w:p w:rsidR="00922548" w:rsidRDefault="00922548">
      <w:pPr>
        <w:numPr>
          <w:ilvl w:val="0"/>
          <w:numId w:val="1"/>
        </w:numPr>
        <w:jc w:val="both"/>
        <w:rPr>
          <w:sz w:val="22"/>
        </w:rPr>
      </w:pPr>
      <w:r>
        <w:rPr>
          <w:sz w:val="22"/>
        </w:rPr>
        <w:t xml:space="preserve">de mettre en </w:t>
      </w:r>
      <w:r w:rsidR="00CD790E">
        <w:rPr>
          <w:sz w:val="22"/>
        </w:rPr>
        <w:t>œuvre</w:t>
      </w:r>
      <w:r>
        <w:rPr>
          <w:sz w:val="22"/>
        </w:rPr>
        <w:t xml:space="preserve"> l'organisation générale d'une comptabilité analytique d'exploitation à partir d'un cas d'entreprise donné.</w:t>
      </w:r>
    </w:p>
    <w:p w:rsidR="00922548" w:rsidRDefault="00922548">
      <w:pPr>
        <w:rPr>
          <w:sz w:val="22"/>
        </w:rPr>
      </w:pPr>
    </w:p>
    <w:p w:rsidR="00922548" w:rsidRDefault="00922548">
      <w:pPr>
        <w:rPr>
          <w:sz w:val="22"/>
        </w:rPr>
      </w:pPr>
    </w:p>
    <w:p w:rsidR="00922548" w:rsidRDefault="00922548">
      <w:pPr>
        <w:rPr>
          <w:b/>
          <w:sz w:val="22"/>
        </w:rPr>
      </w:pPr>
      <w:r>
        <w:rPr>
          <w:b/>
          <w:sz w:val="22"/>
        </w:rPr>
        <w:t>2.</w:t>
      </w:r>
      <w:r>
        <w:rPr>
          <w:b/>
          <w:sz w:val="22"/>
        </w:rPr>
        <w:tab/>
        <w:t>CAPACITES PREALABLES REQUISES</w:t>
      </w:r>
    </w:p>
    <w:p w:rsidR="00922548" w:rsidRDefault="00922548">
      <w:pPr>
        <w:rPr>
          <w:sz w:val="22"/>
        </w:rPr>
      </w:pPr>
    </w:p>
    <w:p w:rsidR="00922548" w:rsidRDefault="00922548">
      <w:pPr>
        <w:ind w:left="425"/>
        <w:rPr>
          <w:b/>
          <w:sz w:val="22"/>
        </w:rPr>
      </w:pPr>
      <w:r>
        <w:rPr>
          <w:b/>
          <w:sz w:val="22"/>
        </w:rPr>
        <w:t>2.1.</w:t>
      </w:r>
      <w:r>
        <w:rPr>
          <w:b/>
          <w:sz w:val="22"/>
        </w:rPr>
        <w:tab/>
        <w:t>Capacités</w:t>
      </w:r>
    </w:p>
    <w:p w:rsidR="00922548" w:rsidRDefault="00922548">
      <w:pPr>
        <w:ind w:left="851"/>
        <w:jc w:val="both"/>
        <w:rPr>
          <w:i/>
          <w:sz w:val="22"/>
        </w:rPr>
      </w:pPr>
    </w:p>
    <w:p w:rsidR="00922548" w:rsidRDefault="00922548">
      <w:pPr>
        <w:ind w:left="851"/>
        <w:jc w:val="both"/>
        <w:rPr>
          <w:sz w:val="22"/>
        </w:rPr>
      </w:pPr>
      <w:r>
        <w:rPr>
          <w:i/>
          <w:sz w:val="22"/>
        </w:rPr>
        <w:t>Face à des situations - problèmes relatives aux procédures et aux règles d’une gestion comptable conforme, ayant à sa disposition le plan comptable,</w:t>
      </w:r>
    </w:p>
    <w:p w:rsidR="00922548" w:rsidRDefault="00922548">
      <w:pPr>
        <w:ind w:left="851"/>
        <w:jc w:val="both"/>
        <w:rPr>
          <w:sz w:val="22"/>
        </w:rPr>
      </w:pPr>
    </w:p>
    <w:p w:rsidR="00922548" w:rsidRDefault="00922548">
      <w:pPr>
        <w:numPr>
          <w:ilvl w:val="0"/>
          <w:numId w:val="4"/>
        </w:numPr>
        <w:jc w:val="both"/>
        <w:rPr>
          <w:sz w:val="22"/>
        </w:rPr>
      </w:pPr>
      <w:r>
        <w:rPr>
          <w:sz w:val="22"/>
        </w:rPr>
        <w:t>mobiliser les connaissances nécessaires à l’application des concepts de base des matières comptables ;</w:t>
      </w:r>
    </w:p>
    <w:p w:rsidR="00922548" w:rsidRDefault="00922548">
      <w:pPr>
        <w:numPr>
          <w:ilvl w:val="0"/>
          <w:numId w:val="4"/>
        </w:numPr>
        <w:jc w:val="both"/>
        <w:rPr>
          <w:sz w:val="22"/>
        </w:rPr>
      </w:pPr>
      <w:r>
        <w:rPr>
          <w:sz w:val="22"/>
        </w:rPr>
        <w:t>assurer la tenue des journaux, des comptes généraux et des comptes individuels ;</w:t>
      </w:r>
    </w:p>
    <w:p w:rsidR="00922548" w:rsidRDefault="00922548">
      <w:pPr>
        <w:numPr>
          <w:ilvl w:val="0"/>
          <w:numId w:val="4"/>
        </w:numPr>
        <w:jc w:val="both"/>
        <w:rPr>
          <w:sz w:val="22"/>
        </w:rPr>
      </w:pPr>
      <w:r>
        <w:rPr>
          <w:sz w:val="22"/>
        </w:rPr>
        <w:t>mener les opérations de fin d’exercice.</w:t>
      </w:r>
    </w:p>
    <w:p w:rsidR="00922548" w:rsidRDefault="00922548">
      <w:pPr>
        <w:ind w:left="851"/>
        <w:jc w:val="both"/>
        <w:rPr>
          <w:sz w:val="22"/>
        </w:rPr>
      </w:pPr>
      <w:r>
        <w:rPr>
          <w:sz w:val="22"/>
        </w:rPr>
        <w:br w:type="page"/>
      </w:r>
    </w:p>
    <w:p w:rsidR="00922548" w:rsidRDefault="00922548">
      <w:pPr>
        <w:ind w:left="425"/>
        <w:rPr>
          <w:b/>
          <w:sz w:val="22"/>
        </w:rPr>
      </w:pPr>
      <w:r>
        <w:rPr>
          <w:b/>
          <w:sz w:val="22"/>
        </w:rPr>
        <w:t>2.2.</w:t>
      </w:r>
      <w:r>
        <w:rPr>
          <w:b/>
          <w:sz w:val="22"/>
        </w:rPr>
        <w:tab/>
        <w:t>Titre pouvant en tenir lieu</w:t>
      </w:r>
    </w:p>
    <w:p w:rsidR="00922548" w:rsidRDefault="00922548">
      <w:pPr>
        <w:rPr>
          <w:sz w:val="22"/>
        </w:rPr>
      </w:pPr>
    </w:p>
    <w:p w:rsidR="00922548" w:rsidRDefault="00922548">
      <w:pPr>
        <w:ind w:left="851"/>
        <w:jc w:val="both"/>
        <w:rPr>
          <w:sz w:val="22"/>
        </w:rPr>
      </w:pPr>
      <w:r>
        <w:rPr>
          <w:sz w:val="22"/>
        </w:rPr>
        <w:t>Attestation de réussite de l’unité d’enseignement</w:t>
      </w:r>
    </w:p>
    <w:p w:rsidR="00922548" w:rsidRDefault="00922548">
      <w:pPr>
        <w:ind w:left="851"/>
        <w:jc w:val="both"/>
        <w:rPr>
          <w:sz w:val="22"/>
        </w:rPr>
      </w:pPr>
      <w:r>
        <w:rPr>
          <w:sz w:val="22"/>
        </w:rPr>
        <w:t>« </w:t>
      </w:r>
      <w:r>
        <w:rPr>
          <w:b/>
          <w:smallCaps/>
          <w:sz w:val="22"/>
        </w:rPr>
        <w:t>COMPTABILITE GENERALE : PRINCIPES ET FONDEMENTS</w:t>
      </w:r>
      <w:r>
        <w:rPr>
          <w:sz w:val="22"/>
        </w:rPr>
        <w:t> »</w:t>
      </w:r>
    </w:p>
    <w:p w:rsidR="00922548" w:rsidRDefault="00922548">
      <w:pPr>
        <w:ind w:left="851"/>
        <w:jc w:val="both"/>
        <w:rPr>
          <w:sz w:val="22"/>
        </w:rPr>
      </w:pPr>
      <w:r>
        <w:rPr>
          <w:sz w:val="22"/>
        </w:rPr>
        <w:t>de l’enseignement supérieur de type court.</w:t>
      </w:r>
    </w:p>
    <w:p w:rsidR="00922548" w:rsidRDefault="00922548">
      <w:pPr>
        <w:rPr>
          <w:sz w:val="22"/>
        </w:rPr>
      </w:pPr>
    </w:p>
    <w:p w:rsidR="0047658E" w:rsidRDefault="0047658E" w:rsidP="0047658E">
      <w:pPr>
        <w:rPr>
          <w:sz w:val="22"/>
        </w:rPr>
      </w:pPr>
    </w:p>
    <w:p w:rsidR="0047658E" w:rsidRDefault="0047658E" w:rsidP="0047658E">
      <w:pPr>
        <w:rPr>
          <w:b/>
          <w:sz w:val="22"/>
        </w:rPr>
      </w:pPr>
      <w:r>
        <w:rPr>
          <w:b/>
          <w:sz w:val="22"/>
        </w:rPr>
        <w:t>3.</w:t>
      </w:r>
      <w:r>
        <w:rPr>
          <w:b/>
          <w:sz w:val="22"/>
        </w:rPr>
        <w:tab/>
        <w:t>ACQUIS D’APPRENTISSAGE</w:t>
      </w:r>
    </w:p>
    <w:p w:rsidR="0047658E" w:rsidRDefault="0047658E" w:rsidP="0047658E">
      <w:pPr>
        <w:rPr>
          <w:b/>
          <w:sz w:val="22"/>
        </w:rPr>
      </w:pPr>
    </w:p>
    <w:p w:rsidR="0047658E" w:rsidRDefault="0047658E" w:rsidP="0047658E">
      <w:pPr>
        <w:ind w:left="426"/>
        <w:jc w:val="both"/>
        <w:rPr>
          <w:b/>
          <w:sz w:val="22"/>
        </w:rPr>
      </w:pPr>
      <w:r>
        <w:rPr>
          <w:b/>
          <w:sz w:val="22"/>
        </w:rPr>
        <w:t>Pour atteindre le seuil de réussite, l’étudiant devra prouver qu’il est capable,</w:t>
      </w:r>
    </w:p>
    <w:p w:rsidR="0047658E" w:rsidRDefault="0047658E" w:rsidP="0047658E">
      <w:pPr>
        <w:ind w:left="426"/>
        <w:rPr>
          <w:sz w:val="22"/>
        </w:rPr>
      </w:pPr>
    </w:p>
    <w:p w:rsidR="0047658E" w:rsidRDefault="0047658E" w:rsidP="0047658E">
      <w:pPr>
        <w:pStyle w:val="Normalcentr"/>
      </w:pPr>
      <w:r>
        <w:t xml:space="preserve">face à  une situation relative à une gestion de comptabilité des coûts, en tenant compte des principes fondamentaux  y afférents, de mettre en </w:t>
      </w:r>
      <w:r w:rsidR="00CD790E">
        <w:t>œuvre</w:t>
      </w:r>
      <w:r>
        <w:t xml:space="preserve"> deux capacités parmi les suivantes, au choix du chargé de cours :</w:t>
      </w:r>
    </w:p>
    <w:p w:rsidR="0047658E" w:rsidRDefault="0047658E" w:rsidP="0047658E">
      <w:pPr>
        <w:numPr>
          <w:ilvl w:val="12"/>
          <w:numId w:val="0"/>
        </w:numPr>
        <w:ind w:left="426" w:right="-57"/>
        <w:rPr>
          <w:i/>
          <w:sz w:val="22"/>
        </w:rPr>
      </w:pPr>
    </w:p>
    <w:p w:rsidR="0047658E" w:rsidRDefault="0047658E" w:rsidP="00CD790E">
      <w:pPr>
        <w:numPr>
          <w:ilvl w:val="0"/>
          <w:numId w:val="1"/>
        </w:numPr>
        <w:ind w:left="709" w:right="-57"/>
        <w:jc w:val="both"/>
        <w:rPr>
          <w:sz w:val="22"/>
        </w:rPr>
      </w:pPr>
      <w:r>
        <w:rPr>
          <w:sz w:val="22"/>
        </w:rPr>
        <w:t>d’expliquer le résultat de l'entreprise par produit ou par division d'activité, en déterminant les coûts complets de ces produits ou de ces divisions et la valorisation des éléments d'actif modifiés par les consommations qui ont contribué à ces coûts (ex : les stocks) ;</w:t>
      </w:r>
    </w:p>
    <w:p w:rsidR="0047658E" w:rsidRDefault="0047658E" w:rsidP="0047658E">
      <w:pPr>
        <w:numPr>
          <w:ilvl w:val="0"/>
          <w:numId w:val="1"/>
        </w:numPr>
        <w:ind w:left="709" w:right="-57"/>
        <w:jc w:val="both"/>
        <w:rPr>
          <w:sz w:val="22"/>
        </w:rPr>
      </w:pPr>
      <w:r>
        <w:rPr>
          <w:sz w:val="22"/>
        </w:rPr>
        <w:t xml:space="preserve">d’appliquer, en faisant preuve de rigueur, tant dans les méthodes de traitement des données que dans les méthodes de contrôle mathématique mises en </w:t>
      </w:r>
      <w:r w:rsidR="00CD790E">
        <w:rPr>
          <w:sz w:val="22"/>
        </w:rPr>
        <w:t>œuvre</w:t>
      </w:r>
      <w:r>
        <w:rPr>
          <w:sz w:val="22"/>
        </w:rPr>
        <w:t>, les principes généraux de la comptabilité analytique d'exploitation ;</w:t>
      </w:r>
    </w:p>
    <w:p w:rsidR="0047658E" w:rsidRDefault="0047658E" w:rsidP="0047658E">
      <w:pPr>
        <w:numPr>
          <w:ilvl w:val="0"/>
          <w:numId w:val="1"/>
        </w:numPr>
        <w:ind w:left="709" w:right="-57"/>
        <w:jc w:val="both"/>
        <w:rPr>
          <w:sz w:val="22"/>
        </w:rPr>
      </w:pPr>
      <w:r>
        <w:rPr>
          <w:sz w:val="22"/>
        </w:rPr>
        <w:t>de calculer les différents types de coûts par la méthode du « coût complet » ;</w:t>
      </w:r>
    </w:p>
    <w:p w:rsidR="0047658E" w:rsidRDefault="0047658E" w:rsidP="0047658E">
      <w:pPr>
        <w:numPr>
          <w:ilvl w:val="0"/>
          <w:numId w:val="1"/>
        </w:numPr>
        <w:ind w:left="709" w:right="-57"/>
        <w:jc w:val="both"/>
        <w:rPr>
          <w:sz w:val="22"/>
        </w:rPr>
      </w:pPr>
      <w:r>
        <w:rPr>
          <w:sz w:val="22"/>
        </w:rPr>
        <w:t>d’appliquer les différentes méthodes du calcul des inventaires effectués par une entreprise.</w:t>
      </w:r>
    </w:p>
    <w:p w:rsidR="0047658E" w:rsidRDefault="0047658E" w:rsidP="0047658E">
      <w:pPr>
        <w:ind w:left="426"/>
        <w:rPr>
          <w:sz w:val="22"/>
        </w:rPr>
      </w:pPr>
    </w:p>
    <w:p w:rsidR="0047658E" w:rsidRDefault="0047658E" w:rsidP="0047658E">
      <w:pPr>
        <w:ind w:left="426"/>
        <w:jc w:val="both"/>
        <w:rPr>
          <w:b/>
          <w:sz w:val="22"/>
        </w:rPr>
      </w:pPr>
      <w:r>
        <w:rPr>
          <w:b/>
          <w:sz w:val="22"/>
        </w:rPr>
        <w:t>Pour la détermination du degré de maîtrise, il sera tenu compte :</w:t>
      </w:r>
    </w:p>
    <w:p w:rsidR="0047658E" w:rsidRDefault="0047658E" w:rsidP="0047658E">
      <w:pPr>
        <w:rPr>
          <w:sz w:val="22"/>
        </w:rPr>
      </w:pPr>
    </w:p>
    <w:p w:rsidR="0047658E" w:rsidRDefault="0047658E" w:rsidP="0047658E">
      <w:pPr>
        <w:numPr>
          <w:ilvl w:val="0"/>
          <w:numId w:val="1"/>
        </w:numPr>
        <w:ind w:left="709" w:right="-57"/>
        <w:jc w:val="both"/>
        <w:rPr>
          <w:sz w:val="22"/>
        </w:rPr>
      </w:pPr>
      <w:r>
        <w:rPr>
          <w:sz w:val="22"/>
        </w:rPr>
        <w:t>de la pertinence des procédures appliquées (application des techniques) ;</w:t>
      </w:r>
    </w:p>
    <w:p w:rsidR="0047658E" w:rsidRDefault="0047658E" w:rsidP="0047658E">
      <w:pPr>
        <w:numPr>
          <w:ilvl w:val="0"/>
          <w:numId w:val="1"/>
        </w:numPr>
        <w:ind w:left="709" w:right="-57"/>
        <w:jc w:val="both"/>
        <w:rPr>
          <w:sz w:val="22"/>
        </w:rPr>
      </w:pPr>
      <w:r>
        <w:rPr>
          <w:sz w:val="22"/>
        </w:rPr>
        <w:t>de sa capacité d'analyse (traitement et prise en compte des données significatives) ;</w:t>
      </w:r>
    </w:p>
    <w:p w:rsidR="0047658E" w:rsidRDefault="0047658E" w:rsidP="0047658E">
      <w:pPr>
        <w:numPr>
          <w:ilvl w:val="0"/>
          <w:numId w:val="1"/>
        </w:numPr>
        <w:ind w:left="709" w:right="-57"/>
        <w:jc w:val="both"/>
        <w:rPr>
          <w:sz w:val="22"/>
        </w:rPr>
      </w:pPr>
      <w:r>
        <w:rPr>
          <w:sz w:val="22"/>
        </w:rPr>
        <w:t>de son sens logique dans l'enchaînement des diverses opérations à mener (logique des procédures) ;</w:t>
      </w:r>
    </w:p>
    <w:p w:rsidR="0047658E" w:rsidRDefault="0047658E" w:rsidP="0047658E">
      <w:pPr>
        <w:numPr>
          <w:ilvl w:val="0"/>
          <w:numId w:val="1"/>
        </w:numPr>
        <w:ind w:left="709" w:right="-57"/>
        <w:jc w:val="both"/>
        <w:rPr>
          <w:sz w:val="22"/>
        </w:rPr>
      </w:pPr>
      <w:r>
        <w:rPr>
          <w:sz w:val="22"/>
        </w:rPr>
        <w:t>de la pertinence des procédures de contrôles mathématiques et comptables choisies ;</w:t>
      </w:r>
    </w:p>
    <w:p w:rsidR="0047658E" w:rsidRDefault="0047658E" w:rsidP="0047658E">
      <w:pPr>
        <w:numPr>
          <w:ilvl w:val="0"/>
          <w:numId w:val="1"/>
        </w:numPr>
        <w:ind w:left="709" w:right="-57"/>
        <w:jc w:val="both"/>
        <w:rPr>
          <w:sz w:val="22"/>
        </w:rPr>
      </w:pPr>
      <w:r>
        <w:rPr>
          <w:sz w:val="22"/>
        </w:rPr>
        <w:t>du niveau de clarté et de précision dans la présentation des données comptables (communication professionnelle).</w:t>
      </w:r>
    </w:p>
    <w:p w:rsidR="00922548" w:rsidRDefault="00922548">
      <w:pPr>
        <w:rPr>
          <w:b/>
          <w:sz w:val="22"/>
        </w:rPr>
      </w:pPr>
    </w:p>
    <w:p w:rsidR="00922548" w:rsidRDefault="00922548">
      <w:pPr>
        <w:rPr>
          <w:b/>
          <w:sz w:val="22"/>
        </w:rPr>
      </w:pPr>
      <w:r>
        <w:rPr>
          <w:b/>
          <w:sz w:val="22"/>
        </w:rPr>
        <w:t>4.</w:t>
      </w:r>
      <w:r>
        <w:rPr>
          <w:b/>
          <w:sz w:val="22"/>
        </w:rPr>
        <w:tab/>
        <w:t>PROGRAMME</w:t>
      </w:r>
    </w:p>
    <w:p w:rsidR="00922548" w:rsidRDefault="00922548">
      <w:pPr>
        <w:rPr>
          <w:sz w:val="22"/>
        </w:rPr>
      </w:pPr>
    </w:p>
    <w:p w:rsidR="00922548" w:rsidRDefault="00922548" w:rsidP="002B5498">
      <w:pPr>
        <w:numPr>
          <w:ilvl w:val="12"/>
          <w:numId w:val="0"/>
        </w:numPr>
        <w:ind w:left="425" w:right="-57"/>
        <w:rPr>
          <w:b/>
          <w:sz w:val="22"/>
        </w:rPr>
      </w:pPr>
      <w:r>
        <w:rPr>
          <w:b/>
          <w:sz w:val="22"/>
        </w:rPr>
        <w:t>L’étudiant sera capable,</w:t>
      </w:r>
    </w:p>
    <w:p w:rsidR="00922548" w:rsidRDefault="00922548">
      <w:pPr>
        <w:numPr>
          <w:ilvl w:val="12"/>
          <w:numId w:val="0"/>
        </w:numPr>
        <w:ind w:left="426" w:right="-57"/>
        <w:rPr>
          <w:sz w:val="22"/>
        </w:rPr>
      </w:pPr>
    </w:p>
    <w:p w:rsidR="00922548" w:rsidRDefault="00922548">
      <w:pPr>
        <w:numPr>
          <w:ilvl w:val="12"/>
          <w:numId w:val="0"/>
        </w:numPr>
        <w:ind w:left="426" w:right="-57"/>
        <w:rPr>
          <w:b/>
          <w:sz w:val="22"/>
        </w:rPr>
      </w:pPr>
      <w:r>
        <w:rPr>
          <w:i/>
          <w:sz w:val="22"/>
        </w:rPr>
        <w:t>face à des situations relatives aux procédés, aux procédures et aux règles d'une gestion de comptabilité analytique d'exploitation d’une entreprise,</w:t>
      </w:r>
    </w:p>
    <w:p w:rsidR="00922548" w:rsidRDefault="00922548">
      <w:pPr>
        <w:numPr>
          <w:ilvl w:val="12"/>
          <w:numId w:val="0"/>
        </w:numPr>
        <w:ind w:left="426" w:right="-57"/>
        <w:rPr>
          <w:sz w:val="22"/>
        </w:rPr>
      </w:pPr>
    </w:p>
    <w:p w:rsidR="00922548" w:rsidRDefault="00922548">
      <w:pPr>
        <w:pStyle w:val="Titre1"/>
      </w:pPr>
      <w:r>
        <w:t>en comptabilité analytique : théorie :</w:t>
      </w:r>
    </w:p>
    <w:p w:rsidR="00922548" w:rsidRDefault="00922548">
      <w:pPr>
        <w:numPr>
          <w:ilvl w:val="12"/>
          <w:numId w:val="0"/>
        </w:numPr>
        <w:ind w:left="426" w:right="-57"/>
        <w:rPr>
          <w:sz w:val="22"/>
        </w:rPr>
      </w:pPr>
    </w:p>
    <w:p w:rsidR="00922548" w:rsidRDefault="00922548">
      <w:pPr>
        <w:numPr>
          <w:ilvl w:val="0"/>
          <w:numId w:val="1"/>
        </w:numPr>
        <w:ind w:left="709" w:right="-57"/>
        <w:rPr>
          <w:sz w:val="22"/>
        </w:rPr>
      </w:pPr>
      <w:r>
        <w:rPr>
          <w:sz w:val="22"/>
        </w:rPr>
        <w:t xml:space="preserve">d'identifier les buts et l'organisation de la comptabilité analytique d'exploitation ainsi que les différentes procédures à mettre en </w:t>
      </w:r>
      <w:r w:rsidR="00CD790E">
        <w:rPr>
          <w:sz w:val="22"/>
        </w:rPr>
        <w:t>œuvre</w:t>
      </w:r>
      <w:r>
        <w:rPr>
          <w:sz w:val="22"/>
        </w:rPr>
        <w:t xml:space="preserve"> pour y répondre et parmi celles-ci : </w:t>
      </w:r>
    </w:p>
    <w:p w:rsidR="00922548" w:rsidRDefault="00922548">
      <w:pPr>
        <w:numPr>
          <w:ilvl w:val="12"/>
          <w:numId w:val="0"/>
        </w:numPr>
        <w:ind w:left="426" w:right="-57"/>
        <w:rPr>
          <w:sz w:val="22"/>
        </w:rPr>
      </w:pPr>
    </w:p>
    <w:p w:rsidR="00922548" w:rsidRDefault="00922548">
      <w:pPr>
        <w:numPr>
          <w:ilvl w:val="0"/>
          <w:numId w:val="2"/>
        </w:numPr>
        <w:ind w:left="993" w:right="-57" w:hanging="284"/>
        <w:jc w:val="both"/>
        <w:rPr>
          <w:sz w:val="22"/>
        </w:rPr>
      </w:pPr>
      <w:r>
        <w:rPr>
          <w:sz w:val="22"/>
        </w:rPr>
        <w:t>la détermination des buts et principes de base de la comptabilité analytique ;</w:t>
      </w:r>
    </w:p>
    <w:p w:rsidR="00922548" w:rsidRDefault="00922548">
      <w:pPr>
        <w:numPr>
          <w:ilvl w:val="0"/>
          <w:numId w:val="2"/>
        </w:numPr>
        <w:ind w:left="993" w:right="-57" w:hanging="284"/>
        <w:jc w:val="both"/>
        <w:rPr>
          <w:sz w:val="22"/>
        </w:rPr>
      </w:pPr>
      <w:r>
        <w:rPr>
          <w:sz w:val="22"/>
        </w:rPr>
        <w:t>la détermination des champs d'application de la comptabilité générale et de la comptabilité analytique ainsi que de leurs imbrications ;</w:t>
      </w:r>
    </w:p>
    <w:p w:rsidR="00922548" w:rsidRDefault="00922548">
      <w:pPr>
        <w:numPr>
          <w:ilvl w:val="0"/>
          <w:numId w:val="2"/>
        </w:numPr>
        <w:ind w:left="993" w:right="-57" w:hanging="284"/>
        <w:jc w:val="both"/>
        <w:rPr>
          <w:sz w:val="22"/>
        </w:rPr>
      </w:pPr>
      <w:r>
        <w:rPr>
          <w:sz w:val="22"/>
        </w:rPr>
        <w:t>la recherche de l'information pertinente pour la comptabilité analytique d'exploitation ;</w:t>
      </w:r>
    </w:p>
    <w:p w:rsidR="00922548" w:rsidRDefault="00922548">
      <w:pPr>
        <w:numPr>
          <w:ilvl w:val="0"/>
          <w:numId w:val="2"/>
        </w:numPr>
        <w:ind w:left="993" w:right="-57" w:hanging="284"/>
        <w:jc w:val="both"/>
        <w:rPr>
          <w:sz w:val="22"/>
        </w:rPr>
      </w:pPr>
      <w:r>
        <w:rPr>
          <w:sz w:val="22"/>
        </w:rPr>
        <w:t xml:space="preserve">la mise en </w:t>
      </w:r>
      <w:r w:rsidR="00CD790E">
        <w:rPr>
          <w:sz w:val="22"/>
        </w:rPr>
        <w:t>œuvre</w:t>
      </w:r>
      <w:r>
        <w:rPr>
          <w:sz w:val="22"/>
        </w:rPr>
        <w:t xml:space="preserve"> de procédures en adéquation avec les caractéristiques de l'entreprise ;</w:t>
      </w:r>
    </w:p>
    <w:p w:rsidR="00922548" w:rsidRDefault="00922548">
      <w:pPr>
        <w:numPr>
          <w:ilvl w:val="12"/>
          <w:numId w:val="0"/>
        </w:numPr>
        <w:ind w:left="426" w:right="-57" w:hanging="426"/>
        <w:jc w:val="both"/>
        <w:rPr>
          <w:sz w:val="22"/>
        </w:rPr>
      </w:pPr>
    </w:p>
    <w:p w:rsidR="002B5498" w:rsidRDefault="002B5498">
      <w:pPr>
        <w:numPr>
          <w:ilvl w:val="12"/>
          <w:numId w:val="0"/>
        </w:numPr>
        <w:ind w:left="426" w:right="-57" w:hanging="426"/>
        <w:jc w:val="both"/>
        <w:rPr>
          <w:sz w:val="22"/>
        </w:rPr>
      </w:pPr>
      <w:bookmarkStart w:id="0" w:name="_GoBack"/>
      <w:bookmarkEnd w:id="0"/>
    </w:p>
    <w:p w:rsidR="00922548" w:rsidRDefault="00922548">
      <w:pPr>
        <w:numPr>
          <w:ilvl w:val="0"/>
          <w:numId w:val="1"/>
        </w:numPr>
        <w:ind w:left="709" w:right="-57"/>
        <w:jc w:val="both"/>
        <w:rPr>
          <w:sz w:val="22"/>
        </w:rPr>
      </w:pPr>
      <w:r>
        <w:rPr>
          <w:sz w:val="22"/>
        </w:rPr>
        <w:t xml:space="preserve">d'acquérir les concepts et des techniques de base de la comptabilité analytique d'exploitation par la méthode du « coût complet » afin : </w:t>
      </w:r>
    </w:p>
    <w:p w:rsidR="00922548" w:rsidRDefault="00922548">
      <w:pPr>
        <w:numPr>
          <w:ilvl w:val="12"/>
          <w:numId w:val="0"/>
        </w:numPr>
        <w:ind w:left="426" w:right="-57" w:hanging="426"/>
        <w:jc w:val="both"/>
        <w:rPr>
          <w:sz w:val="22"/>
        </w:rPr>
      </w:pPr>
    </w:p>
    <w:p w:rsidR="00922548" w:rsidRDefault="00922548">
      <w:pPr>
        <w:numPr>
          <w:ilvl w:val="0"/>
          <w:numId w:val="2"/>
        </w:numPr>
        <w:ind w:left="993" w:right="-57" w:hanging="284"/>
        <w:jc w:val="both"/>
        <w:rPr>
          <w:sz w:val="22"/>
        </w:rPr>
      </w:pPr>
      <w:r>
        <w:rPr>
          <w:sz w:val="22"/>
        </w:rPr>
        <w:t xml:space="preserve">d'identifier les charges directes et indirectes ; </w:t>
      </w:r>
    </w:p>
    <w:p w:rsidR="00922548" w:rsidRDefault="00922548">
      <w:pPr>
        <w:numPr>
          <w:ilvl w:val="0"/>
          <w:numId w:val="2"/>
        </w:numPr>
        <w:ind w:left="993" w:right="-57" w:hanging="284"/>
        <w:jc w:val="both"/>
        <w:rPr>
          <w:sz w:val="22"/>
        </w:rPr>
      </w:pPr>
      <w:r>
        <w:rPr>
          <w:sz w:val="22"/>
        </w:rPr>
        <w:t>d'analyser les charges indirectes par la méthode des sections homogènes (catégories de sections, rôles, unités d'</w:t>
      </w:r>
      <w:r w:rsidR="00CD790E">
        <w:rPr>
          <w:sz w:val="22"/>
        </w:rPr>
        <w:t>œuvres</w:t>
      </w:r>
      <w:r>
        <w:rPr>
          <w:sz w:val="22"/>
        </w:rPr>
        <w:t>, prestations réciproques, imputation aux coûts) ;</w:t>
      </w:r>
    </w:p>
    <w:p w:rsidR="00922548" w:rsidRDefault="00922548">
      <w:pPr>
        <w:numPr>
          <w:ilvl w:val="0"/>
          <w:numId w:val="2"/>
        </w:numPr>
        <w:ind w:left="993" w:right="-57" w:hanging="284"/>
        <w:jc w:val="both"/>
        <w:rPr>
          <w:sz w:val="22"/>
        </w:rPr>
      </w:pPr>
      <w:r>
        <w:rPr>
          <w:sz w:val="22"/>
        </w:rPr>
        <w:t>de définir et d'analyser la cascade des coûts ainsi que leur hiérarchie (coût d'achat, de production, de distribution, de revient) ;</w:t>
      </w:r>
    </w:p>
    <w:p w:rsidR="00922548" w:rsidRDefault="00922548">
      <w:pPr>
        <w:numPr>
          <w:ilvl w:val="0"/>
          <w:numId w:val="2"/>
        </w:numPr>
        <w:ind w:left="993" w:right="-57" w:hanging="284"/>
        <w:jc w:val="both"/>
        <w:rPr>
          <w:sz w:val="22"/>
        </w:rPr>
      </w:pPr>
      <w:r>
        <w:rPr>
          <w:sz w:val="22"/>
        </w:rPr>
        <w:t>de gérer les stocks et d'analyser leurs méthodes de valorisation (technique de  l'inventaire permanent, intégration dans la cascade des coûts) ;</w:t>
      </w:r>
    </w:p>
    <w:p w:rsidR="00922548" w:rsidRDefault="00922548">
      <w:pPr>
        <w:numPr>
          <w:ilvl w:val="0"/>
          <w:numId w:val="2"/>
        </w:numPr>
        <w:ind w:left="993" w:right="-57" w:hanging="284"/>
        <w:jc w:val="both"/>
        <w:rPr>
          <w:sz w:val="22"/>
        </w:rPr>
      </w:pPr>
      <w:r>
        <w:rPr>
          <w:sz w:val="22"/>
        </w:rPr>
        <w:t>de  mettre en parallèle les résultats en comptabilité générale et en comptabilité analytique d'exploitation.(concordance et analyse des résultats) ;</w:t>
      </w:r>
    </w:p>
    <w:p w:rsidR="00922548" w:rsidRDefault="00922548">
      <w:pPr>
        <w:numPr>
          <w:ilvl w:val="0"/>
          <w:numId w:val="2"/>
        </w:numPr>
        <w:ind w:left="993" w:right="-57" w:hanging="284"/>
        <w:jc w:val="both"/>
        <w:rPr>
          <w:sz w:val="22"/>
        </w:rPr>
      </w:pPr>
      <w:r>
        <w:rPr>
          <w:sz w:val="22"/>
        </w:rPr>
        <w:t>d'étudier quelques cas particuliers (déchets, rebuts, sous-produits,...) ;</w:t>
      </w:r>
    </w:p>
    <w:p w:rsidR="00922548" w:rsidRDefault="00922548">
      <w:pPr>
        <w:numPr>
          <w:ilvl w:val="12"/>
          <w:numId w:val="0"/>
        </w:numPr>
        <w:ind w:left="993" w:right="-57" w:hanging="284"/>
        <w:rPr>
          <w:sz w:val="22"/>
        </w:rPr>
      </w:pPr>
    </w:p>
    <w:p w:rsidR="00922548" w:rsidRDefault="00922548">
      <w:pPr>
        <w:numPr>
          <w:ilvl w:val="12"/>
          <w:numId w:val="0"/>
        </w:numPr>
        <w:ind w:left="426" w:right="-57"/>
        <w:rPr>
          <w:sz w:val="22"/>
        </w:rPr>
      </w:pPr>
      <w:r>
        <w:rPr>
          <w:b/>
          <w:sz w:val="22"/>
        </w:rPr>
        <w:t>en comptabilité analytique : laboratoire :</w:t>
      </w:r>
    </w:p>
    <w:p w:rsidR="00922548" w:rsidRDefault="00922548">
      <w:pPr>
        <w:numPr>
          <w:ilvl w:val="12"/>
          <w:numId w:val="0"/>
        </w:numPr>
        <w:ind w:left="426" w:right="-57"/>
        <w:rPr>
          <w:sz w:val="22"/>
        </w:rPr>
      </w:pPr>
    </w:p>
    <w:p w:rsidR="00922548" w:rsidRDefault="00922548">
      <w:pPr>
        <w:numPr>
          <w:ilvl w:val="0"/>
          <w:numId w:val="1"/>
        </w:numPr>
        <w:ind w:left="709" w:right="-57"/>
        <w:rPr>
          <w:sz w:val="22"/>
        </w:rPr>
      </w:pPr>
      <w:r>
        <w:rPr>
          <w:sz w:val="22"/>
        </w:rPr>
        <w:t>d'appliquer les concepts et techniques, de manière automatisée ou non, à des cas pratiques pour :</w:t>
      </w:r>
    </w:p>
    <w:p w:rsidR="00922548" w:rsidRDefault="00922548">
      <w:pPr>
        <w:numPr>
          <w:ilvl w:val="12"/>
          <w:numId w:val="0"/>
        </w:numPr>
        <w:tabs>
          <w:tab w:val="left" w:pos="1701"/>
        </w:tabs>
        <w:ind w:left="426" w:right="-57"/>
        <w:rPr>
          <w:b/>
          <w:sz w:val="22"/>
        </w:rPr>
      </w:pPr>
    </w:p>
    <w:p w:rsidR="00922548" w:rsidRDefault="00922548">
      <w:pPr>
        <w:numPr>
          <w:ilvl w:val="0"/>
          <w:numId w:val="2"/>
        </w:numPr>
        <w:ind w:left="993" w:right="-57" w:hanging="284"/>
        <w:rPr>
          <w:sz w:val="22"/>
        </w:rPr>
      </w:pPr>
      <w:r>
        <w:rPr>
          <w:sz w:val="22"/>
        </w:rPr>
        <w:t xml:space="preserve">calculer les charges directes et indirectes ; </w:t>
      </w:r>
    </w:p>
    <w:p w:rsidR="00922548" w:rsidRDefault="00922548">
      <w:pPr>
        <w:numPr>
          <w:ilvl w:val="0"/>
          <w:numId w:val="2"/>
        </w:numPr>
        <w:ind w:left="993" w:right="-57" w:hanging="284"/>
        <w:rPr>
          <w:sz w:val="22"/>
        </w:rPr>
      </w:pPr>
      <w:r>
        <w:rPr>
          <w:sz w:val="22"/>
        </w:rPr>
        <w:t>hiérarchiser les coûts ;</w:t>
      </w:r>
    </w:p>
    <w:p w:rsidR="00922548" w:rsidRDefault="00922548">
      <w:pPr>
        <w:numPr>
          <w:ilvl w:val="0"/>
          <w:numId w:val="2"/>
        </w:numPr>
        <w:ind w:left="993" w:right="-57" w:hanging="284"/>
        <w:rPr>
          <w:sz w:val="22"/>
        </w:rPr>
      </w:pPr>
      <w:r>
        <w:rPr>
          <w:sz w:val="22"/>
        </w:rPr>
        <w:t>valoriser les stocks ;</w:t>
      </w:r>
    </w:p>
    <w:p w:rsidR="00922548" w:rsidRDefault="00922548">
      <w:pPr>
        <w:numPr>
          <w:ilvl w:val="0"/>
          <w:numId w:val="2"/>
        </w:numPr>
        <w:ind w:left="993" w:hanging="284"/>
        <w:rPr>
          <w:sz w:val="22"/>
        </w:rPr>
      </w:pPr>
      <w:r>
        <w:rPr>
          <w:sz w:val="22"/>
        </w:rPr>
        <w:t>procéder au contrôle des résultats ;</w:t>
      </w:r>
    </w:p>
    <w:p w:rsidR="00922548" w:rsidRDefault="00922548">
      <w:pPr>
        <w:numPr>
          <w:ilvl w:val="0"/>
          <w:numId w:val="2"/>
        </w:numPr>
        <w:ind w:left="993" w:hanging="284"/>
        <w:rPr>
          <w:sz w:val="22"/>
        </w:rPr>
      </w:pPr>
      <w:r>
        <w:rPr>
          <w:sz w:val="22"/>
        </w:rPr>
        <w:t>réaliser et/ou analyser un cas de synthèse avec le calcul du coût de revient.</w:t>
      </w:r>
    </w:p>
    <w:p w:rsidR="00922548" w:rsidRDefault="00922548">
      <w:pPr>
        <w:rPr>
          <w:sz w:val="22"/>
        </w:rPr>
      </w:pPr>
    </w:p>
    <w:p w:rsidR="00922548" w:rsidRDefault="00922548">
      <w:pPr>
        <w:rPr>
          <w:sz w:val="22"/>
        </w:rPr>
      </w:pPr>
    </w:p>
    <w:p w:rsidR="00922548" w:rsidRDefault="0047658E">
      <w:pPr>
        <w:rPr>
          <w:b/>
          <w:sz w:val="22"/>
        </w:rPr>
      </w:pPr>
      <w:r>
        <w:rPr>
          <w:b/>
          <w:sz w:val="22"/>
        </w:rPr>
        <w:t>5</w:t>
      </w:r>
      <w:r w:rsidR="00922548">
        <w:rPr>
          <w:b/>
          <w:sz w:val="22"/>
        </w:rPr>
        <w:t>.</w:t>
      </w:r>
      <w:r w:rsidR="00922548">
        <w:rPr>
          <w:b/>
          <w:sz w:val="22"/>
        </w:rPr>
        <w:tab/>
        <w:t>CHARGE(S) DE COURS</w:t>
      </w:r>
    </w:p>
    <w:p w:rsidR="00922548" w:rsidRDefault="00922548">
      <w:pPr>
        <w:rPr>
          <w:sz w:val="22"/>
        </w:rPr>
      </w:pPr>
    </w:p>
    <w:p w:rsidR="00922548" w:rsidRDefault="00922548">
      <w:pPr>
        <w:ind w:left="426"/>
        <w:rPr>
          <w:sz w:val="22"/>
        </w:rPr>
      </w:pPr>
      <w:r>
        <w:rPr>
          <w:sz w:val="22"/>
        </w:rPr>
        <w:t>Un enseignant ou un expert</w:t>
      </w:r>
    </w:p>
    <w:p w:rsidR="00922548" w:rsidRDefault="00922548">
      <w:pPr>
        <w:ind w:left="426"/>
        <w:rPr>
          <w:sz w:val="22"/>
        </w:rPr>
      </w:pPr>
      <w:r>
        <w:rPr>
          <w:sz w:val="22"/>
        </w:rPr>
        <w:t>L’expert sera un spécialiste disposant d’une compétence professionnelle actualisée et reconnue dans le domaine.</w:t>
      </w:r>
    </w:p>
    <w:p w:rsidR="00922548" w:rsidRDefault="00922548">
      <w:pPr>
        <w:ind w:left="426"/>
        <w:rPr>
          <w:sz w:val="22"/>
        </w:rPr>
      </w:pPr>
    </w:p>
    <w:p w:rsidR="00922548" w:rsidRDefault="00922548">
      <w:pPr>
        <w:rPr>
          <w:sz w:val="22"/>
        </w:rPr>
      </w:pPr>
    </w:p>
    <w:p w:rsidR="00922548" w:rsidRDefault="0047658E">
      <w:pPr>
        <w:ind w:left="426" w:hanging="426"/>
        <w:rPr>
          <w:b/>
          <w:sz w:val="22"/>
        </w:rPr>
      </w:pPr>
      <w:r>
        <w:rPr>
          <w:b/>
          <w:sz w:val="22"/>
        </w:rPr>
        <w:t>6</w:t>
      </w:r>
      <w:r w:rsidR="00922548">
        <w:rPr>
          <w:b/>
          <w:sz w:val="22"/>
        </w:rPr>
        <w:t>.</w:t>
      </w:r>
      <w:r w:rsidR="00922548">
        <w:rPr>
          <w:b/>
          <w:sz w:val="22"/>
        </w:rPr>
        <w:tab/>
        <w:t>CONSTITUTION DES GROUPES OU REGROUPEMENT</w:t>
      </w:r>
    </w:p>
    <w:p w:rsidR="00922548" w:rsidRDefault="00922548">
      <w:pPr>
        <w:rPr>
          <w:sz w:val="22"/>
        </w:rPr>
      </w:pPr>
    </w:p>
    <w:p w:rsidR="00922548" w:rsidRDefault="00922548">
      <w:pPr>
        <w:ind w:left="426"/>
        <w:jc w:val="both"/>
        <w:rPr>
          <w:sz w:val="22"/>
        </w:rPr>
      </w:pPr>
      <w:r>
        <w:rPr>
          <w:sz w:val="22"/>
        </w:rPr>
        <w:t>Aucune recommandation particulière.</w:t>
      </w:r>
    </w:p>
    <w:p w:rsidR="0047658E" w:rsidRDefault="0047658E">
      <w:pPr>
        <w:ind w:left="426"/>
        <w:jc w:val="both"/>
        <w:rPr>
          <w:sz w:val="22"/>
        </w:rPr>
      </w:pPr>
    </w:p>
    <w:p w:rsidR="0047658E" w:rsidRDefault="0047658E" w:rsidP="0047658E">
      <w:pPr>
        <w:rPr>
          <w:sz w:val="22"/>
        </w:rPr>
      </w:pPr>
    </w:p>
    <w:p w:rsidR="0047658E" w:rsidRDefault="0047658E" w:rsidP="0047658E">
      <w:pPr>
        <w:rPr>
          <w:b/>
          <w:sz w:val="22"/>
        </w:rPr>
      </w:pPr>
      <w:r>
        <w:rPr>
          <w:b/>
          <w:sz w:val="22"/>
        </w:rPr>
        <w:t>7.</w:t>
      </w:r>
      <w:r>
        <w:rPr>
          <w:b/>
          <w:sz w:val="22"/>
        </w:rPr>
        <w:tab/>
        <w:t>HORAIRE MINIMUM DE L’UNITE D’ENSEIGNEMENT</w:t>
      </w:r>
    </w:p>
    <w:p w:rsidR="0047658E" w:rsidRDefault="0047658E" w:rsidP="0047658E">
      <w:pPr>
        <w:numPr>
          <w:ilvl w:val="12"/>
          <w:numId w:val="0"/>
        </w:numPr>
        <w:ind w:left="708" w:hanging="708"/>
        <w:rPr>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253"/>
        <w:gridCol w:w="1701"/>
        <w:gridCol w:w="1701"/>
        <w:gridCol w:w="1701"/>
      </w:tblGrid>
      <w:tr w:rsidR="0047658E" w:rsidTr="008B02F9">
        <w:tc>
          <w:tcPr>
            <w:tcW w:w="4253" w:type="dxa"/>
            <w:tcBorders>
              <w:top w:val="single" w:sz="12" w:space="0" w:color="auto"/>
              <w:left w:val="single" w:sz="12" w:space="0" w:color="auto"/>
              <w:bottom w:val="single" w:sz="12" w:space="0" w:color="auto"/>
            </w:tcBorders>
          </w:tcPr>
          <w:p w:rsidR="0047658E" w:rsidRDefault="0047658E" w:rsidP="008B02F9">
            <w:pPr>
              <w:ind w:left="426"/>
              <w:rPr>
                <w:b/>
              </w:rPr>
            </w:pPr>
            <w:r>
              <w:rPr>
                <w:b/>
              </w:rPr>
              <w:t>7.1. Dénomination des cours</w:t>
            </w:r>
          </w:p>
        </w:tc>
        <w:tc>
          <w:tcPr>
            <w:tcW w:w="1701" w:type="dxa"/>
            <w:tcBorders>
              <w:top w:val="single" w:sz="12" w:space="0" w:color="auto"/>
              <w:bottom w:val="single" w:sz="12" w:space="0" w:color="auto"/>
            </w:tcBorders>
          </w:tcPr>
          <w:p w:rsidR="0047658E" w:rsidRDefault="0047658E" w:rsidP="008B02F9">
            <w:pPr>
              <w:jc w:val="center"/>
            </w:pPr>
            <w:r>
              <w:t>Classement</w:t>
            </w:r>
          </w:p>
        </w:tc>
        <w:tc>
          <w:tcPr>
            <w:tcW w:w="1701" w:type="dxa"/>
            <w:tcBorders>
              <w:top w:val="single" w:sz="12" w:space="0" w:color="auto"/>
              <w:bottom w:val="single" w:sz="12" w:space="0" w:color="auto"/>
            </w:tcBorders>
          </w:tcPr>
          <w:p w:rsidR="0047658E" w:rsidRDefault="0047658E" w:rsidP="008B02F9">
            <w:pPr>
              <w:jc w:val="center"/>
            </w:pPr>
            <w:r>
              <w:t>Code U</w:t>
            </w:r>
          </w:p>
        </w:tc>
        <w:tc>
          <w:tcPr>
            <w:tcW w:w="1701" w:type="dxa"/>
            <w:tcBorders>
              <w:top w:val="single" w:sz="12" w:space="0" w:color="auto"/>
              <w:bottom w:val="single" w:sz="12" w:space="0" w:color="auto"/>
              <w:right w:val="single" w:sz="12" w:space="0" w:color="auto"/>
            </w:tcBorders>
          </w:tcPr>
          <w:p w:rsidR="0047658E" w:rsidRDefault="0047658E" w:rsidP="008B02F9">
            <w:pPr>
              <w:jc w:val="center"/>
            </w:pPr>
            <w:r>
              <w:t>Nombre de périodes</w:t>
            </w:r>
          </w:p>
        </w:tc>
      </w:tr>
      <w:tr w:rsidR="0047658E" w:rsidTr="008B02F9">
        <w:tc>
          <w:tcPr>
            <w:tcW w:w="4253" w:type="dxa"/>
            <w:tcBorders>
              <w:top w:val="nil"/>
              <w:left w:val="single" w:sz="12" w:space="0" w:color="auto"/>
            </w:tcBorders>
          </w:tcPr>
          <w:p w:rsidR="0047658E" w:rsidRDefault="0047658E" w:rsidP="008B02F9">
            <w:r>
              <w:t>Comptabilité analytique : théorie</w:t>
            </w:r>
          </w:p>
        </w:tc>
        <w:tc>
          <w:tcPr>
            <w:tcW w:w="1701" w:type="dxa"/>
            <w:tcBorders>
              <w:top w:val="nil"/>
            </w:tcBorders>
          </w:tcPr>
          <w:p w:rsidR="0047658E" w:rsidRDefault="0047658E" w:rsidP="008B02F9">
            <w:pPr>
              <w:jc w:val="center"/>
            </w:pPr>
            <w:r>
              <w:t>CT</w:t>
            </w:r>
          </w:p>
        </w:tc>
        <w:tc>
          <w:tcPr>
            <w:tcW w:w="1701" w:type="dxa"/>
            <w:tcBorders>
              <w:top w:val="nil"/>
            </w:tcBorders>
          </w:tcPr>
          <w:p w:rsidR="0047658E" w:rsidRDefault="0047658E" w:rsidP="008B02F9">
            <w:pPr>
              <w:ind w:right="567"/>
              <w:jc w:val="right"/>
            </w:pPr>
            <w:r>
              <w:t>B</w:t>
            </w:r>
          </w:p>
        </w:tc>
        <w:tc>
          <w:tcPr>
            <w:tcW w:w="1701" w:type="dxa"/>
            <w:tcBorders>
              <w:top w:val="nil"/>
              <w:right w:val="single" w:sz="12" w:space="0" w:color="auto"/>
            </w:tcBorders>
          </w:tcPr>
          <w:p w:rsidR="0047658E" w:rsidRDefault="0047658E" w:rsidP="008B02F9">
            <w:pPr>
              <w:ind w:right="567"/>
              <w:jc w:val="right"/>
            </w:pPr>
            <w:r>
              <w:t>40</w:t>
            </w:r>
          </w:p>
        </w:tc>
      </w:tr>
      <w:tr w:rsidR="0047658E" w:rsidTr="008B02F9">
        <w:tc>
          <w:tcPr>
            <w:tcW w:w="4253" w:type="dxa"/>
            <w:tcBorders>
              <w:top w:val="nil"/>
              <w:left w:val="single" w:sz="12" w:space="0" w:color="auto"/>
            </w:tcBorders>
          </w:tcPr>
          <w:p w:rsidR="0047658E" w:rsidRDefault="0047658E" w:rsidP="008B02F9">
            <w:r>
              <w:t>Comptabilité analytique : laboratoire</w:t>
            </w:r>
          </w:p>
        </w:tc>
        <w:tc>
          <w:tcPr>
            <w:tcW w:w="1701" w:type="dxa"/>
            <w:tcBorders>
              <w:top w:val="nil"/>
            </w:tcBorders>
          </w:tcPr>
          <w:p w:rsidR="0047658E" w:rsidRDefault="0047658E" w:rsidP="008B02F9">
            <w:pPr>
              <w:jc w:val="center"/>
            </w:pPr>
            <w:r>
              <w:t>CT</w:t>
            </w:r>
          </w:p>
        </w:tc>
        <w:tc>
          <w:tcPr>
            <w:tcW w:w="1701" w:type="dxa"/>
            <w:tcBorders>
              <w:top w:val="nil"/>
            </w:tcBorders>
          </w:tcPr>
          <w:p w:rsidR="0047658E" w:rsidRDefault="0047658E" w:rsidP="008B02F9">
            <w:pPr>
              <w:ind w:right="567"/>
              <w:jc w:val="right"/>
            </w:pPr>
            <w:r>
              <w:t>S</w:t>
            </w:r>
          </w:p>
        </w:tc>
        <w:tc>
          <w:tcPr>
            <w:tcW w:w="1701" w:type="dxa"/>
            <w:tcBorders>
              <w:top w:val="nil"/>
              <w:right w:val="single" w:sz="12" w:space="0" w:color="auto"/>
            </w:tcBorders>
          </w:tcPr>
          <w:p w:rsidR="0047658E" w:rsidRDefault="0047658E" w:rsidP="008B02F9">
            <w:pPr>
              <w:ind w:right="567"/>
              <w:jc w:val="right"/>
            </w:pPr>
            <w:r>
              <w:t>24</w:t>
            </w:r>
          </w:p>
        </w:tc>
      </w:tr>
      <w:tr w:rsidR="0047658E" w:rsidTr="008B02F9">
        <w:tc>
          <w:tcPr>
            <w:tcW w:w="5954" w:type="dxa"/>
            <w:gridSpan w:val="2"/>
            <w:tcBorders>
              <w:left w:val="single" w:sz="12" w:space="0" w:color="auto"/>
              <w:bottom w:val="nil"/>
            </w:tcBorders>
          </w:tcPr>
          <w:p w:rsidR="0047658E" w:rsidRDefault="0047658E" w:rsidP="008B02F9">
            <w:pPr>
              <w:ind w:left="426"/>
              <w:rPr>
                <w:b/>
              </w:rPr>
            </w:pPr>
            <w:r>
              <w:rPr>
                <w:b/>
              </w:rPr>
              <w:t>7.2. Part d’autonomie</w:t>
            </w:r>
          </w:p>
        </w:tc>
        <w:tc>
          <w:tcPr>
            <w:tcW w:w="1701" w:type="dxa"/>
            <w:tcBorders>
              <w:bottom w:val="nil"/>
            </w:tcBorders>
          </w:tcPr>
          <w:p w:rsidR="0047658E" w:rsidRDefault="0047658E" w:rsidP="008B02F9">
            <w:pPr>
              <w:ind w:right="567"/>
              <w:jc w:val="right"/>
            </w:pPr>
            <w:r>
              <w:t>P</w:t>
            </w:r>
          </w:p>
        </w:tc>
        <w:tc>
          <w:tcPr>
            <w:tcW w:w="1701" w:type="dxa"/>
            <w:tcBorders>
              <w:bottom w:val="nil"/>
              <w:right w:val="single" w:sz="12" w:space="0" w:color="auto"/>
            </w:tcBorders>
          </w:tcPr>
          <w:p w:rsidR="0047658E" w:rsidRDefault="0047658E" w:rsidP="008B02F9">
            <w:pPr>
              <w:ind w:right="567"/>
              <w:jc w:val="right"/>
            </w:pPr>
            <w:r>
              <w:t>16</w:t>
            </w:r>
          </w:p>
        </w:tc>
      </w:tr>
      <w:tr w:rsidR="0047658E" w:rsidTr="008B02F9">
        <w:tc>
          <w:tcPr>
            <w:tcW w:w="5954" w:type="dxa"/>
            <w:gridSpan w:val="2"/>
            <w:tcBorders>
              <w:top w:val="single" w:sz="12" w:space="0" w:color="auto"/>
              <w:left w:val="single" w:sz="12" w:space="0" w:color="auto"/>
              <w:bottom w:val="single" w:sz="12" w:space="0" w:color="auto"/>
              <w:right w:val="nil"/>
            </w:tcBorders>
          </w:tcPr>
          <w:p w:rsidR="0047658E" w:rsidRDefault="0047658E" w:rsidP="008B02F9">
            <w:r>
              <w:t>Total des périodes</w:t>
            </w:r>
          </w:p>
        </w:tc>
        <w:tc>
          <w:tcPr>
            <w:tcW w:w="1701" w:type="dxa"/>
            <w:tcBorders>
              <w:top w:val="single" w:sz="12" w:space="0" w:color="auto"/>
              <w:left w:val="nil"/>
              <w:bottom w:val="single" w:sz="12" w:space="0" w:color="auto"/>
              <w:right w:val="nil"/>
            </w:tcBorders>
          </w:tcPr>
          <w:p w:rsidR="0047658E" w:rsidRDefault="0047658E" w:rsidP="008B02F9">
            <w:pPr>
              <w:ind w:right="709"/>
              <w:jc w:val="right"/>
            </w:pPr>
          </w:p>
        </w:tc>
        <w:tc>
          <w:tcPr>
            <w:tcW w:w="1701" w:type="dxa"/>
            <w:tcBorders>
              <w:top w:val="single" w:sz="12" w:space="0" w:color="auto"/>
              <w:bottom w:val="single" w:sz="12" w:space="0" w:color="auto"/>
              <w:right w:val="single" w:sz="12" w:space="0" w:color="auto"/>
            </w:tcBorders>
          </w:tcPr>
          <w:p w:rsidR="0047658E" w:rsidRDefault="0047658E" w:rsidP="008B02F9">
            <w:pPr>
              <w:ind w:right="567"/>
              <w:jc w:val="right"/>
            </w:pPr>
            <w:r>
              <w:t>80</w:t>
            </w:r>
          </w:p>
        </w:tc>
      </w:tr>
    </w:tbl>
    <w:p w:rsidR="0047658E" w:rsidRDefault="0047658E" w:rsidP="0047658E">
      <w:pPr>
        <w:numPr>
          <w:ilvl w:val="12"/>
          <w:numId w:val="0"/>
        </w:numPr>
        <w:ind w:firstLine="1"/>
        <w:rPr>
          <w:sz w:val="22"/>
        </w:rPr>
      </w:pPr>
    </w:p>
    <w:p w:rsidR="0047658E" w:rsidRDefault="0047658E">
      <w:pPr>
        <w:ind w:left="426"/>
        <w:jc w:val="both"/>
      </w:pPr>
    </w:p>
    <w:sectPr w:rsidR="0047658E">
      <w:footerReference w:type="default" r:id="rId7"/>
      <w:pgSz w:w="11907" w:h="16840"/>
      <w:pgMar w:top="1418" w:right="1418" w:bottom="1418"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568" w:rsidRDefault="00C55568">
      <w:r>
        <w:separator/>
      </w:r>
    </w:p>
  </w:endnote>
  <w:endnote w:type="continuationSeparator" w:id="0">
    <w:p w:rsidR="00C55568" w:rsidRDefault="00C55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Serif">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90E" w:rsidRDefault="00CD790E">
    <w:pPr>
      <w:pStyle w:val="Pieddepage"/>
    </w:pPr>
    <w:r>
      <w:t>Bac Compta UE Compta analytique principes et fondements</w:t>
    </w:r>
    <w:r>
      <w:tab/>
      <w:t xml:space="preserve"> Page </w:t>
    </w:r>
    <w:r>
      <w:rPr>
        <w:b/>
        <w:bCs/>
        <w:sz w:val="24"/>
        <w:szCs w:val="24"/>
      </w:rPr>
      <w:fldChar w:fldCharType="begin"/>
    </w:r>
    <w:r>
      <w:rPr>
        <w:b/>
        <w:bCs/>
      </w:rPr>
      <w:instrText>PAGE</w:instrText>
    </w:r>
    <w:r>
      <w:rPr>
        <w:b/>
        <w:bCs/>
        <w:sz w:val="24"/>
        <w:szCs w:val="24"/>
      </w:rPr>
      <w:fldChar w:fldCharType="separate"/>
    </w:r>
    <w:r w:rsidR="002B5498">
      <w:rPr>
        <w:b/>
        <w:bCs/>
        <w:noProof/>
      </w:rPr>
      <w:t>3</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2B5498">
      <w:rPr>
        <w:b/>
        <w:bCs/>
        <w:noProof/>
      </w:rPr>
      <w:t>4</w:t>
    </w:r>
    <w:r>
      <w:rPr>
        <w:b/>
        <w:bCs/>
        <w:sz w:val="24"/>
        <w:szCs w:val="24"/>
      </w:rPr>
      <w:fldChar w:fldCharType="end"/>
    </w:r>
  </w:p>
  <w:p w:rsidR="00922548" w:rsidRDefault="00922548">
    <w:pPr>
      <w:pStyle w:val="Pieddepage"/>
      <w:rPr>
        <w:sz w:val="16"/>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568" w:rsidRDefault="00C55568">
      <w:r>
        <w:separator/>
      </w:r>
    </w:p>
  </w:footnote>
  <w:footnote w:type="continuationSeparator" w:id="0">
    <w:p w:rsidR="00C55568" w:rsidRDefault="00C555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2">
    <w:abstractNumId w:val="0"/>
    <w:lvlOverride w:ilvl="0">
      <w:lvl w:ilvl="0">
        <w:start w:val="1"/>
        <w:numFmt w:val="bullet"/>
        <w:lvlText w:val=""/>
        <w:legacy w:legacy="1" w:legacySpace="0" w:legacyIndent="283"/>
        <w:lvlJc w:val="left"/>
        <w:pPr>
          <w:ind w:left="1418" w:hanging="283"/>
        </w:pPr>
        <w:rPr>
          <w:rFonts w:ascii="Symbol" w:hAnsi="Symbol" w:hint="default"/>
          <w:sz w:val="18"/>
        </w:rPr>
      </w:lvl>
    </w:lvlOverride>
  </w:num>
  <w:num w:numId="3">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4">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5"/>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658E"/>
    <w:rsid w:val="000B149B"/>
    <w:rsid w:val="0026781B"/>
    <w:rsid w:val="002B5498"/>
    <w:rsid w:val="0047658E"/>
    <w:rsid w:val="00922548"/>
    <w:rsid w:val="00C55568"/>
    <w:rsid w:val="00C70DDF"/>
    <w:rsid w:val="00CD790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5327BD7"/>
  <w15:chartTrackingRefBased/>
  <w15:docId w15:val="{7B6C314E-AA61-44A5-A2B4-043E06533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lang w:val="fr-FR" w:eastAsia="fr-FR"/>
    </w:rPr>
  </w:style>
  <w:style w:type="paragraph" w:styleId="Titre1">
    <w:name w:val="heading 1"/>
    <w:basedOn w:val="Normal"/>
    <w:next w:val="Normal"/>
    <w:qFormat/>
    <w:pPr>
      <w:keepNext/>
      <w:numPr>
        <w:ilvl w:val="12"/>
      </w:numPr>
      <w:ind w:left="426" w:right="-113"/>
      <w:outlineLvl w:val="0"/>
    </w:pPr>
    <w:rPr>
      <w:b/>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
    <w:name w:val="Texte"/>
    <w:basedOn w:val="Normal"/>
    <w:rPr>
      <w:rFonts w:ascii="MS Serif" w:hAnsi="MS Serif"/>
      <w:noProof/>
    </w:rPr>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tyle>
  <w:style w:type="paragraph" w:styleId="Notedebasdepage">
    <w:name w:val="footnote text"/>
    <w:basedOn w:val="Normal"/>
    <w:semiHidden/>
  </w:style>
  <w:style w:type="character" w:styleId="Appelnotedebasdep">
    <w:name w:val="footnote reference"/>
    <w:semiHidden/>
    <w:rPr>
      <w:vertAlign w:val="superscript"/>
    </w:rPr>
  </w:style>
  <w:style w:type="paragraph" w:styleId="Normalcentr">
    <w:name w:val="Block Text"/>
    <w:basedOn w:val="Normal"/>
    <w:pPr>
      <w:numPr>
        <w:ilvl w:val="12"/>
      </w:numPr>
      <w:ind w:left="426" w:right="-57"/>
      <w:jc w:val="both"/>
    </w:pPr>
    <w:rPr>
      <w:i/>
      <w:sz w:val="22"/>
    </w:rPr>
  </w:style>
  <w:style w:type="paragraph" w:styleId="Textedebulles">
    <w:name w:val="Balloon Text"/>
    <w:basedOn w:val="Normal"/>
    <w:link w:val="TextedebullesCar"/>
    <w:rPr>
      <w:rFonts w:ascii="Segoe UI" w:hAnsi="Segoe UI" w:cs="Segoe UI"/>
      <w:sz w:val="18"/>
      <w:szCs w:val="18"/>
    </w:rPr>
  </w:style>
  <w:style w:type="character" w:customStyle="1" w:styleId="TextedebullesCar">
    <w:name w:val="Texte de bulles Car"/>
    <w:link w:val="Textedebulles"/>
    <w:rPr>
      <w:rFonts w:ascii="Segoe UI" w:hAnsi="Segoe UI" w:cs="Segoe UI"/>
      <w:sz w:val="18"/>
      <w:szCs w:val="18"/>
      <w:lang w:val="fr-FR" w:eastAsia="fr-FR"/>
    </w:rPr>
  </w:style>
  <w:style w:type="character" w:customStyle="1" w:styleId="PieddepageCar">
    <w:name w:val="Pied de page Car"/>
    <w:link w:val="Pieddepage"/>
    <w:uiPriority w:val="99"/>
    <w:rsid w:val="00CD790E"/>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51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ty%20Quoidbach\Documents\BAC%20r&#233;vision\COMPTABILITE%202\Bac%20Compta%20UE%20Compta%20analytique%20principes%20et%20fondements.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Bac Compta UE Compta analytique principes et fondements.dot</Template>
  <TotalTime>7</TotalTime>
  <Pages>4</Pages>
  <Words>988</Words>
  <Characters>5434</Characters>
  <Application>Microsoft Office Word</Application>
  <DocSecurity>0</DocSecurity>
  <Lines>45</Lines>
  <Paragraphs>12</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MINISTERE DE LA COMMUNAUTE FRANCAISE</vt:lpstr>
      <vt:lpstr>en comptabilité analytique : théorie :</vt:lpstr>
    </vt:vector>
  </TitlesOfParts>
  <Company>EPS</Company>
  <LinksUpToDate>false</LinksUpToDate>
  <CharactersWithSpaces>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MINISTERE DE LA COMMUNAUTE FRANCAISE</dc:title>
  <dc:subject/>
  <dc:creator>Utilisateur Windows</dc:creator>
  <cp:keywords/>
  <cp:lastModifiedBy>Utilisateur Windows</cp:lastModifiedBy>
  <cp:revision>4</cp:revision>
  <cp:lastPrinted>2017-01-26T14:06:00Z</cp:lastPrinted>
  <dcterms:created xsi:type="dcterms:W3CDTF">2017-05-31T15:56:00Z</dcterms:created>
  <dcterms:modified xsi:type="dcterms:W3CDTF">2017-05-31T16:03:00Z</dcterms:modified>
</cp:coreProperties>
</file>