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/>
    <w:p>
      <w:pPr>
        <w:pStyle w:val="Titre2"/>
        <w:rPr>
          <w:caps/>
        </w:rPr>
      </w:pPr>
      <w:r>
        <w:t>UNITE D’ENSEIGNEMENT</w:t>
      </w:r>
      <w:r>
        <w:rPr>
          <w:b w:val="0"/>
          <w:bCs w:val="0"/>
        </w:rPr>
        <w:t xml:space="preserve">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caps/>
          <w:sz w:val="32"/>
          <w:szCs w:val="32"/>
        </w:rPr>
      </w:pPr>
      <w:r>
        <w:rPr>
          <w:caps/>
          <w:sz w:val="32"/>
          <w:szCs w:val="32"/>
        </w:rPr>
        <w:t>NOTIONS DE DROIT APPLIQUE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>
      <w:pPr>
        <w:suppressAutoHyphens w:val="0"/>
        <w:jc w:val="center"/>
        <w:rPr>
          <w:sz w:val="24"/>
          <w:szCs w:val="24"/>
          <w:lang w:eastAsia="fr-FR"/>
        </w:rPr>
      </w:pPr>
    </w:p>
    <w:p>
      <w:pPr>
        <w:suppressAutoHyphens w:val="0"/>
        <w:jc w:val="center"/>
        <w:rPr>
          <w:b/>
          <w:smallCaps/>
          <w:spacing w:val="5"/>
          <w:sz w:val="24"/>
          <w:szCs w:val="24"/>
          <w:lang w:eastAsia="fr-FR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juridiques</w:t>
      </w: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 xml:space="preserve">CODE : </w:t>
            </w:r>
            <w:r>
              <w:rPr>
                <w:b/>
                <w:lang w:val="nl-NL"/>
              </w:rPr>
              <w:t>713107 U32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703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/>
    <w:p>
      <w:pPr>
        <w:jc w:val="center"/>
        <w:rPr>
          <w:b/>
        </w:rPr>
      </w:pPr>
      <w:r>
        <w:rPr>
          <w:b/>
        </w:rPr>
        <w:t xml:space="preserve">Approbation du Gouvernement de la Communauté française du 06 novembre 2019, 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NOTIONS DE DROIT APPLIQUE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D’ENSEIGNEMENT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372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655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655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  <w:szCs w:val="22"/>
        </w:rPr>
      </w:pPr>
    </w:p>
    <w:p>
      <w:pPr>
        <w:suppressAutoHyphens w:val="0"/>
        <w:spacing w:after="120"/>
        <w:ind w:left="425"/>
        <w:jc w:val="both"/>
        <w:rPr>
          <w:sz w:val="22"/>
          <w:szCs w:val="22"/>
        </w:rPr>
      </w:pPr>
      <w:bookmarkStart w:id="3" w:name="FIP"/>
      <w:bookmarkEnd w:id="3"/>
      <w:r>
        <w:rPr>
          <w:sz w:val="22"/>
          <w:szCs w:val="22"/>
        </w:rPr>
        <w:t>Cette unité d’enseignement vise à permettre à l’étudiant :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de s’approprier des connaissances générales en droit civil et économique;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d’analyser et de résoudre des problèmes juridiques simples en matière de contrats civils et commerciaux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d’appliquer la législation spécifique en matière de pratiques du marché et de protection du consommateur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d’appliquer la législation de base relative au domaine des TIC.</w:t>
      </w: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outlineLvl w:val="0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</w:rPr>
        <w:t>Capacités</w:t>
      </w:r>
    </w:p>
    <w:p>
      <w:pPr>
        <w:rPr>
          <w:sz w:val="22"/>
          <w:szCs w:val="22"/>
        </w:rPr>
      </w:pP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résumer les idées essentielles d’un texte d’intérêt général et les critiquer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produire un message structuré qui exprime un avis, une prise de position devant un fait, un événement,... (des documents d’information pouvant être mis à sa disposition).</w:t>
      </w:r>
    </w:p>
    <w:p>
      <w:pPr>
        <w:rPr>
          <w:sz w:val="22"/>
          <w:szCs w:val="22"/>
        </w:rPr>
      </w:pPr>
    </w:p>
    <w:p>
      <w:pPr>
        <w:ind w:left="851" w:hanging="426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2.2.</w:t>
      </w:r>
      <w:r>
        <w:rPr>
          <w:b/>
          <w:sz w:val="22"/>
          <w:szCs w:val="22"/>
        </w:rPr>
        <w:tab/>
        <w:t>Titre pouvant en tenir lieu</w:t>
      </w:r>
    </w:p>
    <w:p>
      <w:pPr>
        <w:rPr>
          <w:sz w:val="22"/>
          <w:szCs w:val="22"/>
        </w:rPr>
      </w:pPr>
    </w:p>
    <w:p>
      <w:pPr>
        <w:spacing w:after="120"/>
        <w:ind w:left="425"/>
        <w:rPr>
          <w:sz w:val="22"/>
          <w:szCs w:val="22"/>
        </w:rPr>
      </w:pPr>
      <w:r>
        <w:rPr>
          <w:sz w:val="22"/>
          <w:szCs w:val="22"/>
        </w:rPr>
        <w:t>C.E.S.S.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ACQUIS D’APPRENTISSAGE</w:t>
      </w:r>
    </w:p>
    <w:p>
      <w:pPr>
        <w:ind w:left="283" w:hanging="283"/>
        <w:jc w:val="both"/>
        <w:rPr>
          <w:b/>
          <w:sz w:val="22"/>
          <w:szCs w:val="22"/>
        </w:rPr>
      </w:pPr>
    </w:p>
    <w:p>
      <w:pPr>
        <w:ind w:left="360"/>
        <w:jc w:val="both"/>
        <w:rPr>
          <w:sz w:val="22"/>
          <w:szCs w:val="22"/>
        </w:rPr>
      </w:pPr>
      <w:bookmarkStart w:id="4" w:name="CAT"/>
      <w:bookmarkEnd w:id="4"/>
      <w:r>
        <w:rPr>
          <w:b/>
          <w:sz w:val="22"/>
          <w:szCs w:val="22"/>
        </w:rPr>
        <w:t>Pour atteindre le seuil de réussite</w:t>
      </w:r>
      <w:r>
        <w:rPr>
          <w:sz w:val="22"/>
          <w:szCs w:val="22"/>
        </w:rPr>
        <w:t>, l’étudiant sera capable,</w:t>
      </w:r>
    </w:p>
    <w:p>
      <w:pPr>
        <w:ind w:left="76"/>
        <w:jc w:val="both"/>
        <w:rPr>
          <w:sz w:val="22"/>
          <w:szCs w:val="22"/>
        </w:rPr>
      </w:pPr>
    </w:p>
    <w:p>
      <w:pPr>
        <w:pStyle w:val="Corpsdetexte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face à des situations juridiques courantes concernant les contrats civils et commerciaux, les pratiques du commerce, et la législation applicable au domaine des TIC,</w:t>
      </w:r>
    </w:p>
    <w:p>
      <w:pPr>
        <w:pStyle w:val="Corpsdetexte"/>
        <w:spacing w:before="120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en disposant de la documentation ad hoc,</w:t>
      </w:r>
    </w:p>
    <w:p>
      <w:pPr>
        <w:numPr>
          <w:ilvl w:val="0"/>
          <w:numId w:val="11"/>
        </w:numPr>
        <w:tabs>
          <w:tab w:val="clear" w:pos="1134"/>
          <w:tab w:val="left" w:pos="709"/>
          <w:tab w:val="num" w:pos="1069"/>
        </w:tabs>
        <w:spacing w:before="120"/>
        <w:ind w:left="644" w:hanging="284"/>
        <w:rPr>
          <w:sz w:val="22"/>
          <w:szCs w:val="22"/>
        </w:rPr>
      </w:pPr>
      <w:r>
        <w:rPr>
          <w:sz w:val="22"/>
          <w:szCs w:val="22"/>
        </w:rPr>
        <w:t>d’identifier les cadres juridiques concernés ;</w:t>
      </w:r>
    </w:p>
    <w:p>
      <w:pPr>
        <w:numPr>
          <w:ilvl w:val="0"/>
          <w:numId w:val="11"/>
        </w:numPr>
        <w:tabs>
          <w:tab w:val="clear" w:pos="1134"/>
          <w:tab w:val="left" w:pos="709"/>
          <w:tab w:val="num" w:pos="1069"/>
        </w:tabs>
        <w:spacing w:before="120"/>
        <w:ind w:left="644" w:hanging="284"/>
        <w:rPr>
          <w:sz w:val="22"/>
          <w:szCs w:val="22"/>
        </w:rPr>
      </w:pPr>
      <w:r>
        <w:rPr>
          <w:sz w:val="22"/>
          <w:szCs w:val="22"/>
        </w:rPr>
        <w:t>de résoudre des situations par l’application des notions de droit qui les régissent ;</w:t>
      </w:r>
    </w:p>
    <w:p>
      <w:pPr>
        <w:numPr>
          <w:ilvl w:val="0"/>
          <w:numId w:val="11"/>
        </w:numPr>
        <w:tabs>
          <w:tab w:val="clear" w:pos="1134"/>
          <w:tab w:val="left" w:pos="709"/>
          <w:tab w:val="num" w:pos="1069"/>
        </w:tabs>
        <w:spacing w:before="120"/>
        <w:ind w:left="644" w:hanging="284"/>
        <w:rPr>
          <w:sz w:val="22"/>
          <w:szCs w:val="22"/>
        </w:rPr>
      </w:pPr>
      <w:r>
        <w:rPr>
          <w:sz w:val="22"/>
          <w:szCs w:val="22"/>
        </w:rPr>
        <w:t>de structurer et de justifier la démarche juridique mise en œuvre.</w:t>
      </w:r>
    </w:p>
    <w:p>
      <w:pPr>
        <w:spacing w:before="120" w:after="120"/>
        <w:ind w:left="361"/>
        <w:jc w:val="both"/>
        <w:rPr>
          <w:bCs/>
          <w:iCs/>
          <w:sz w:val="22"/>
          <w:szCs w:val="22"/>
        </w:rPr>
      </w:pPr>
    </w:p>
    <w:p>
      <w:pPr>
        <w:ind w:left="360"/>
        <w:jc w:val="both"/>
        <w:rPr>
          <w:sz w:val="22"/>
          <w:szCs w:val="22"/>
        </w:rPr>
      </w:pPr>
      <w:bookmarkStart w:id="5" w:name="_Hlk509938116"/>
      <w:r>
        <w:rPr>
          <w:b/>
          <w:sz w:val="22"/>
          <w:szCs w:val="22"/>
        </w:rPr>
        <w:t xml:space="preserve">Pour la détermination du degré de maîtrise, </w:t>
      </w:r>
      <w:r>
        <w:rPr>
          <w:sz w:val="22"/>
          <w:szCs w:val="22"/>
        </w:rPr>
        <w:t>il sera tenu compte des critères suivants :</w:t>
      </w:r>
    </w:p>
    <w:p>
      <w:pPr>
        <w:ind w:left="360"/>
        <w:jc w:val="both"/>
        <w:rPr>
          <w:b/>
          <w:sz w:val="22"/>
          <w:szCs w:val="22"/>
        </w:rPr>
      </w:pPr>
    </w:p>
    <w:p>
      <w:pPr>
        <w:numPr>
          <w:ilvl w:val="0"/>
          <w:numId w:val="3"/>
        </w:numPr>
        <w:suppressAutoHyphens w:val="0"/>
        <w:spacing w:after="120"/>
        <w:ind w:left="655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niveau de précision : la clarté, la concision, la rigueur au niveau de la terminologie, des concepts et des techniques/principes/modèles,</w:t>
      </w:r>
    </w:p>
    <w:p>
      <w:pPr>
        <w:numPr>
          <w:ilvl w:val="0"/>
          <w:numId w:val="3"/>
        </w:numPr>
        <w:suppressAutoHyphens w:val="0"/>
        <w:spacing w:after="120"/>
        <w:ind w:left="655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niveau de cohérence : la capacité à établir avec pertinence une majorité de liens logiques pour former un ensemble organisé,</w:t>
      </w:r>
    </w:p>
    <w:p>
      <w:pPr>
        <w:numPr>
          <w:ilvl w:val="0"/>
          <w:numId w:val="3"/>
        </w:numPr>
        <w:suppressAutoHyphens w:val="0"/>
        <w:spacing w:after="120"/>
        <w:ind w:left="655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3"/>
        </w:numPr>
        <w:suppressAutoHyphens w:val="0"/>
        <w:spacing w:after="120"/>
        <w:ind w:left="655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niveau d’autonomie : la capacité de faire preuve d’initiatives démontrant une réflexion personnelle basée sur une exploitation des ressources et des idées en interdépendance avec son environnement.</w:t>
      </w:r>
    </w:p>
    <w:p>
      <w:pPr>
        <w:suppressAutoHyphens w:val="0"/>
        <w:spacing w:after="120"/>
        <w:ind w:left="1134"/>
        <w:jc w:val="both"/>
        <w:rPr>
          <w:sz w:val="22"/>
          <w:szCs w:val="22"/>
          <w:lang w:val="fr-BE"/>
        </w:rPr>
      </w:pPr>
    </w:p>
    <w:bookmarkEnd w:id="5"/>
    <w:p>
      <w:pPr>
        <w:rPr>
          <w:b/>
          <w:sz w:val="22"/>
          <w:szCs w:val="22"/>
        </w:rPr>
      </w:pPr>
    </w:p>
    <w:p>
      <w:pPr>
        <w:numPr>
          <w:ilvl w:val="0"/>
          <w:numId w:val="2"/>
        </w:numPr>
        <w:tabs>
          <w:tab w:val="clear" w:pos="360"/>
          <w:tab w:val="num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rPr>
          <w:b/>
          <w:sz w:val="22"/>
          <w:szCs w:val="22"/>
        </w:rPr>
      </w:pPr>
    </w:p>
    <w:p>
      <w:pPr>
        <w:ind w:left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ind w:left="360"/>
        <w:jc w:val="both"/>
        <w:rPr>
          <w:i/>
          <w:sz w:val="22"/>
          <w:szCs w:val="22"/>
        </w:rPr>
      </w:pPr>
    </w:p>
    <w:p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des situations issues de la vie professionnelle, en disposant de la documentation usuelle,</w:t>
      </w:r>
    </w:p>
    <w:p>
      <w:pPr>
        <w:ind w:left="76"/>
        <w:jc w:val="both"/>
        <w:rPr>
          <w:bCs/>
          <w:iCs/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2596"/>
        </w:tabs>
        <w:ind w:left="868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Eléments de droit civil</w:t>
      </w:r>
    </w:p>
    <w:p>
      <w:pPr>
        <w:ind w:left="76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11"/>
        </w:numPr>
        <w:tabs>
          <w:tab w:val="left" w:pos="1134"/>
        </w:tabs>
        <w:spacing w:after="120"/>
        <w:ind w:left="784" w:hanging="283"/>
        <w:rPr>
          <w:sz w:val="22"/>
          <w:szCs w:val="22"/>
        </w:rPr>
      </w:pPr>
      <w:r>
        <w:rPr>
          <w:sz w:val="22"/>
          <w:szCs w:val="22"/>
          <w:lang w:val="fr-BE"/>
        </w:rPr>
        <w:t xml:space="preserve">de </w:t>
      </w:r>
      <w:r>
        <w:rPr>
          <w:sz w:val="22"/>
          <w:szCs w:val="22"/>
        </w:rPr>
        <w:t>décrire et d’expliciter des notions essentielles du droit en général :</w:t>
      </w:r>
    </w:p>
    <w:p>
      <w:pPr>
        <w:numPr>
          <w:ilvl w:val="0"/>
          <w:numId w:val="8"/>
        </w:numPr>
        <w:tabs>
          <w:tab w:val="num" w:pos="1558"/>
        </w:tabs>
        <w:suppressAutoHyphens w:val="0"/>
        <w:spacing w:after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sens du mot « droit »,</w:t>
      </w:r>
    </w:p>
    <w:p>
      <w:pPr>
        <w:numPr>
          <w:ilvl w:val="0"/>
          <w:numId w:val="8"/>
        </w:numPr>
        <w:tabs>
          <w:tab w:val="num" w:pos="1558"/>
        </w:tabs>
        <w:suppressAutoHyphens w:val="0"/>
        <w:spacing w:after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fondement des sources du droit,</w:t>
      </w:r>
    </w:p>
    <w:p>
      <w:pPr>
        <w:numPr>
          <w:ilvl w:val="0"/>
          <w:numId w:val="8"/>
        </w:numPr>
        <w:tabs>
          <w:tab w:val="num" w:pos="1558"/>
        </w:tabs>
        <w:suppressAutoHyphens w:val="0"/>
        <w:spacing w:after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compétences des tribunaux,</w:t>
      </w:r>
    </w:p>
    <w:p>
      <w:pPr>
        <w:numPr>
          <w:ilvl w:val="0"/>
          <w:numId w:val="8"/>
        </w:numPr>
        <w:tabs>
          <w:tab w:val="num" w:pos="1558"/>
        </w:tabs>
        <w:suppressAutoHyphens w:val="0"/>
        <w:spacing w:after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caractéristiques formelles des personnes physiques et morales,</w:t>
      </w:r>
    </w:p>
    <w:p>
      <w:pPr>
        <w:numPr>
          <w:ilvl w:val="0"/>
          <w:numId w:val="8"/>
        </w:numPr>
        <w:tabs>
          <w:tab w:val="num" w:pos="1558"/>
        </w:tabs>
        <w:suppressAutoHyphens w:val="0"/>
        <w:spacing w:after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théorie générale des contrats : classification, conditions de validité, extinction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84" w:hanging="283"/>
        <w:rPr>
          <w:sz w:val="22"/>
          <w:szCs w:val="22"/>
        </w:rPr>
      </w:pPr>
      <w:r>
        <w:rPr>
          <w:sz w:val="22"/>
          <w:szCs w:val="22"/>
        </w:rPr>
        <w:t>d’identifier les parties en présence, les éléments essentiels et les obligations de chacun des cocontractants de contrats tels que la vente, le prêt…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84" w:hanging="283"/>
        <w:rPr>
          <w:sz w:val="22"/>
          <w:szCs w:val="22"/>
        </w:rPr>
      </w:pPr>
      <w:r>
        <w:rPr>
          <w:sz w:val="22"/>
          <w:szCs w:val="22"/>
        </w:rPr>
        <w:t>d’appliquer les principes relatifs aux conditions de validité des contrats et à leurs effets.</w:t>
      </w:r>
    </w:p>
    <w:p>
      <w:pPr>
        <w:suppressAutoHyphens w:val="0"/>
        <w:spacing w:after="120"/>
        <w:jc w:val="both"/>
        <w:rPr>
          <w:b/>
          <w:sz w:val="22"/>
          <w:szCs w:val="22"/>
        </w:rPr>
      </w:pPr>
    </w:p>
    <w:p>
      <w:pPr>
        <w:suppressAutoHyphens w:val="0"/>
        <w:spacing w:after="120"/>
        <w:jc w:val="both"/>
        <w:rPr>
          <w:b/>
          <w:sz w:val="22"/>
          <w:szCs w:val="22"/>
        </w:rPr>
      </w:pPr>
    </w:p>
    <w:p>
      <w:pPr>
        <w:suppressAutoHyphens w:val="0"/>
        <w:spacing w:after="120"/>
        <w:jc w:val="both"/>
        <w:rPr>
          <w:b/>
          <w:sz w:val="22"/>
          <w:szCs w:val="22"/>
        </w:rPr>
      </w:pPr>
    </w:p>
    <w:p>
      <w:pPr>
        <w:pStyle w:val="Paragraphedeliste"/>
        <w:numPr>
          <w:ilvl w:val="1"/>
          <w:numId w:val="2"/>
        </w:numPr>
        <w:suppressAutoHyphens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Notions de droit économique</w:t>
      </w:r>
    </w:p>
    <w:p>
      <w:pPr>
        <w:spacing w:after="120"/>
        <w:jc w:val="both"/>
        <w:rPr>
          <w:sz w:val="22"/>
          <w:szCs w:val="22"/>
        </w:rPr>
      </w:pP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de décrire et d’expliciter des notions essentielles relevant du droit économique telles que « commerçant », « acte de commerce », « fonds de commerce »…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d’identifier les parties en présence, les éléments essentiels et les obligations de chacun des cocontractants des contrats de vente, de commission, de franchising, de factoring...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d’appliquer la législation en matière de pratiques du marché et de protection du consommateur (pratiques interdites ou réglementées, y compris dans l’e-commerce)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 xml:space="preserve">d’évaluer l’impact des associations consuméristes sur les relations de l’entreprise avec ses clients ; 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d’acquérir les notions essentielles relatives aux procédures de faillite et de réorganisation judiciaire (entreprises en difficulté).</w:t>
      </w:r>
    </w:p>
    <w:p>
      <w:pPr>
        <w:jc w:val="both"/>
        <w:rPr>
          <w:sz w:val="22"/>
          <w:szCs w:val="22"/>
        </w:rPr>
      </w:pPr>
    </w:p>
    <w:p>
      <w:pPr>
        <w:pStyle w:val="Paragraphedeliste"/>
        <w:numPr>
          <w:ilvl w:val="1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Eléments de droit appliqué aux TIC</w:t>
      </w:r>
    </w:p>
    <w:p>
      <w:pPr>
        <w:pStyle w:val="Paragraphedeliste"/>
        <w:spacing w:after="120"/>
        <w:ind w:left="792"/>
        <w:jc w:val="both"/>
        <w:rPr>
          <w:sz w:val="22"/>
          <w:szCs w:val="22"/>
        </w:rPr>
      </w:pP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d’expliciter et d’appliquer les principes fondamentaux régissant les droits de la propriété intellectuelle tels que :</w:t>
      </w:r>
    </w:p>
    <w:p>
      <w:pPr>
        <w:numPr>
          <w:ilvl w:val="0"/>
          <w:numId w:val="8"/>
        </w:numPr>
        <w:tabs>
          <w:tab w:val="num" w:pos="1482"/>
        </w:tabs>
        <w:suppressAutoHyphens w:val="0"/>
        <w:spacing w:after="120"/>
        <w:ind w:left="1482" w:hanging="425"/>
        <w:jc w:val="both"/>
        <w:rPr>
          <w:sz w:val="22"/>
          <w:szCs w:val="22"/>
        </w:rPr>
      </w:pPr>
      <w:r>
        <w:rPr>
          <w:sz w:val="22"/>
          <w:szCs w:val="22"/>
        </w:rPr>
        <w:t>le droit d’auteur en général, et en particulier :</w:t>
      </w:r>
    </w:p>
    <w:p>
      <w:pPr>
        <w:numPr>
          <w:ilvl w:val="2"/>
          <w:numId w:val="10"/>
        </w:numPr>
        <w:tabs>
          <w:tab w:val="clear" w:pos="2015"/>
          <w:tab w:val="num" w:pos="1908"/>
        </w:tabs>
        <w:suppressAutoHyphens w:val="0"/>
        <w:spacing w:after="120"/>
        <w:ind w:left="1908" w:hanging="426"/>
        <w:jc w:val="both"/>
        <w:rPr>
          <w:sz w:val="22"/>
          <w:szCs w:val="22"/>
        </w:rPr>
      </w:pPr>
      <w:r>
        <w:rPr>
          <w:sz w:val="22"/>
          <w:szCs w:val="22"/>
        </w:rPr>
        <w:t>les œuvres audio-visuelles,</w:t>
      </w:r>
    </w:p>
    <w:p>
      <w:pPr>
        <w:numPr>
          <w:ilvl w:val="2"/>
          <w:numId w:val="10"/>
        </w:numPr>
        <w:tabs>
          <w:tab w:val="clear" w:pos="2015"/>
          <w:tab w:val="num" w:pos="1908"/>
        </w:tabs>
        <w:suppressAutoHyphens w:val="0"/>
        <w:spacing w:after="120"/>
        <w:ind w:left="1908" w:hanging="426"/>
        <w:jc w:val="both"/>
        <w:rPr>
          <w:sz w:val="22"/>
          <w:szCs w:val="22"/>
        </w:rPr>
      </w:pPr>
      <w:r>
        <w:rPr>
          <w:sz w:val="22"/>
          <w:szCs w:val="22"/>
        </w:rPr>
        <w:t>le multimédia et internet,</w:t>
      </w:r>
    </w:p>
    <w:p>
      <w:pPr>
        <w:numPr>
          <w:ilvl w:val="2"/>
          <w:numId w:val="10"/>
        </w:numPr>
        <w:tabs>
          <w:tab w:val="clear" w:pos="2015"/>
          <w:tab w:val="num" w:pos="1908"/>
        </w:tabs>
        <w:suppressAutoHyphens w:val="0"/>
        <w:spacing w:after="120"/>
        <w:ind w:left="1908" w:hanging="426"/>
        <w:jc w:val="both"/>
        <w:rPr>
          <w:sz w:val="22"/>
          <w:szCs w:val="22"/>
        </w:rPr>
      </w:pPr>
      <w:r>
        <w:rPr>
          <w:sz w:val="22"/>
          <w:szCs w:val="22"/>
        </w:rPr>
        <w:t>les logiciels informatiques,</w:t>
      </w:r>
    </w:p>
    <w:p>
      <w:pPr>
        <w:numPr>
          <w:ilvl w:val="2"/>
          <w:numId w:val="10"/>
        </w:numPr>
        <w:tabs>
          <w:tab w:val="clear" w:pos="2015"/>
          <w:tab w:val="num" w:pos="1908"/>
        </w:tabs>
        <w:suppressAutoHyphens w:val="0"/>
        <w:spacing w:after="120"/>
        <w:ind w:left="1908" w:hanging="426"/>
        <w:jc w:val="both"/>
        <w:rPr>
          <w:sz w:val="22"/>
          <w:szCs w:val="22"/>
        </w:rPr>
      </w:pPr>
      <w:r>
        <w:rPr>
          <w:sz w:val="22"/>
          <w:szCs w:val="22"/>
        </w:rPr>
        <w:t>les bases de données,</w:t>
      </w:r>
    </w:p>
    <w:p>
      <w:pPr>
        <w:numPr>
          <w:ilvl w:val="0"/>
          <w:numId w:val="8"/>
        </w:numPr>
        <w:tabs>
          <w:tab w:val="num" w:pos="1482"/>
        </w:tabs>
        <w:suppressAutoHyphens w:val="0"/>
        <w:spacing w:after="120"/>
        <w:ind w:left="1482" w:hanging="425"/>
        <w:jc w:val="both"/>
        <w:rPr>
          <w:sz w:val="22"/>
          <w:szCs w:val="22"/>
        </w:rPr>
      </w:pPr>
      <w:r>
        <w:rPr>
          <w:sz w:val="22"/>
          <w:szCs w:val="22"/>
        </w:rPr>
        <w:t>RGPD</w:t>
      </w:r>
      <w:r>
        <w:rPr>
          <w:rStyle w:val="Appelnotedebasdep"/>
          <w:sz w:val="22"/>
          <w:szCs w:val="22"/>
        </w:rPr>
        <w:footnoteReference w:id="1"/>
      </w:r>
      <w:r>
        <w:rPr>
          <w:sz w:val="22"/>
          <w:szCs w:val="22"/>
        </w:rPr>
        <w:t> (protection des données à caractère personnel, contrats d’externalisation des systèmes d’information…),</w:t>
      </w:r>
    </w:p>
    <w:p>
      <w:pPr>
        <w:numPr>
          <w:ilvl w:val="0"/>
          <w:numId w:val="8"/>
        </w:numPr>
        <w:tabs>
          <w:tab w:val="num" w:pos="1482"/>
        </w:tabs>
        <w:suppressAutoHyphens w:val="0"/>
        <w:spacing w:after="120"/>
        <w:ind w:left="1482" w:hanging="425"/>
        <w:jc w:val="both"/>
        <w:rPr>
          <w:sz w:val="22"/>
          <w:szCs w:val="22"/>
        </w:rPr>
      </w:pPr>
      <w:r>
        <w:rPr>
          <w:sz w:val="22"/>
          <w:szCs w:val="22"/>
        </w:rPr>
        <w:t>les droits de la société de l’information (contrat électronique, signature électronique, etc.) ;</w:t>
      </w:r>
    </w:p>
    <w:p>
      <w:pPr>
        <w:numPr>
          <w:ilvl w:val="0"/>
          <w:numId w:val="8"/>
        </w:numPr>
        <w:tabs>
          <w:tab w:val="num" w:pos="1482"/>
        </w:tabs>
        <w:suppressAutoHyphens w:val="0"/>
        <w:spacing w:after="120"/>
        <w:ind w:left="1482" w:hanging="425"/>
        <w:jc w:val="both"/>
        <w:rPr>
          <w:sz w:val="22"/>
          <w:szCs w:val="22"/>
        </w:rPr>
      </w:pPr>
      <w:r>
        <w:rPr>
          <w:sz w:val="22"/>
          <w:szCs w:val="22"/>
        </w:rPr>
        <w:t>les contrats de cession et de licence ;</w:t>
      </w:r>
    </w:p>
    <w:p>
      <w:pPr>
        <w:numPr>
          <w:ilvl w:val="0"/>
          <w:numId w:val="11"/>
        </w:numPr>
        <w:tabs>
          <w:tab w:val="left" w:pos="1134"/>
        </w:tabs>
        <w:spacing w:after="120"/>
        <w:ind w:left="708" w:hanging="283"/>
        <w:rPr>
          <w:sz w:val="22"/>
          <w:szCs w:val="22"/>
        </w:rPr>
      </w:pPr>
      <w:r>
        <w:rPr>
          <w:sz w:val="22"/>
          <w:szCs w:val="22"/>
        </w:rPr>
        <w:t>de déterminer les responsabilités juridiques y afférentes et leurs conséquences pour les différents intervenants.</w:t>
      </w:r>
    </w:p>
    <w:p>
      <w:pPr>
        <w:pStyle w:val="Paragraphedeliste"/>
        <w:ind w:left="792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spacing w:before="120"/>
        <w:ind w:left="360"/>
        <w:jc w:val="both"/>
        <w:rPr>
          <w:sz w:val="22"/>
          <w:szCs w:val="22"/>
          <w:shd w:val="clear" w:color="auto" w:fill="00B050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spacing w:before="120"/>
        <w:ind w:left="284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HORAIRE MINIMUM DE L’UNITE D’ENSEIGNEMENT</w:t>
      </w:r>
    </w:p>
    <w:p>
      <w:pPr>
        <w:ind w:left="708" w:hanging="708"/>
        <w:rPr>
          <w:sz w:val="22"/>
        </w:rPr>
      </w:pP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bookmarkStart w:id="6" w:name="VOL"/>
            <w:bookmarkEnd w:id="6"/>
            <w:r>
              <w:rPr>
                <w:sz w:val="22"/>
                <w:szCs w:val="22"/>
              </w:rPr>
              <w:t>Eléments de droit civil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Notions de droit commercial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Eléments de droit appliqué aux TIC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/>
    <w:sectPr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Bac en Assistant de direction : UE Notions de droit privé</w:t>
    </w:r>
    <w:r>
      <w:rPr>
        <w:color w:val="1F497D" w:themeColor="text2"/>
        <w:sz w:val="18"/>
        <w:szCs w:val="18"/>
      </w:rPr>
      <w:tab/>
    </w:r>
    <w:r>
      <w:rPr>
        <w:color w:val="1F497D" w:themeColor="text2"/>
        <w:sz w:val="18"/>
        <w:szCs w:val="18"/>
      </w:rPr>
      <w:tab/>
      <w:t xml:space="preserve">Page </w:t>
    </w:r>
    <w:r>
      <w:rPr>
        <w:b/>
        <w:bCs/>
        <w:color w:val="1F497D" w:themeColor="text2"/>
        <w:sz w:val="18"/>
        <w:szCs w:val="18"/>
      </w:rPr>
      <w:fldChar w:fldCharType="begin"/>
    </w:r>
    <w:r>
      <w:rPr>
        <w:b/>
        <w:bCs/>
        <w:color w:val="1F497D" w:themeColor="text2"/>
        <w:sz w:val="18"/>
        <w:szCs w:val="18"/>
      </w:rPr>
      <w:instrText>PAGE</w:instrText>
    </w:r>
    <w:r>
      <w:rPr>
        <w:b/>
        <w:bCs/>
        <w:color w:val="1F497D" w:themeColor="text2"/>
        <w:sz w:val="18"/>
        <w:szCs w:val="18"/>
      </w:rPr>
      <w:fldChar w:fldCharType="separate"/>
    </w:r>
    <w:r>
      <w:rPr>
        <w:b/>
        <w:bCs/>
        <w:noProof/>
        <w:color w:val="1F497D" w:themeColor="text2"/>
        <w:sz w:val="18"/>
        <w:szCs w:val="18"/>
      </w:rPr>
      <w:t>2</w:t>
    </w:r>
    <w:r>
      <w:rPr>
        <w:b/>
        <w:bCs/>
        <w:color w:val="1F497D" w:themeColor="text2"/>
        <w:sz w:val="18"/>
        <w:szCs w:val="18"/>
      </w:rPr>
      <w:fldChar w:fldCharType="end"/>
    </w:r>
    <w:r>
      <w:rPr>
        <w:color w:val="1F497D" w:themeColor="text2"/>
        <w:sz w:val="18"/>
        <w:szCs w:val="18"/>
      </w:rPr>
      <w:t xml:space="preserve"> sur </w:t>
    </w:r>
    <w:r>
      <w:rPr>
        <w:b/>
        <w:bCs/>
        <w:color w:val="1F497D" w:themeColor="text2"/>
        <w:sz w:val="18"/>
        <w:szCs w:val="18"/>
      </w:rPr>
      <w:fldChar w:fldCharType="begin"/>
    </w:r>
    <w:r>
      <w:rPr>
        <w:b/>
        <w:bCs/>
        <w:color w:val="1F497D" w:themeColor="text2"/>
        <w:sz w:val="18"/>
        <w:szCs w:val="18"/>
      </w:rPr>
      <w:instrText>NUMPAGES</w:instrText>
    </w:r>
    <w:r>
      <w:rPr>
        <w:b/>
        <w:bCs/>
        <w:color w:val="1F497D" w:themeColor="text2"/>
        <w:sz w:val="18"/>
        <w:szCs w:val="18"/>
      </w:rPr>
      <w:fldChar w:fldCharType="separate"/>
    </w:r>
    <w:r>
      <w:rPr>
        <w:b/>
        <w:bCs/>
        <w:noProof/>
        <w:color w:val="1F497D" w:themeColor="text2"/>
        <w:sz w:val="18"/>
        <w:szCs w:val="18"/>
      </w:rPr>
      <w:t>5</w:t>
    </w:r>
    <w:r>
      <w:rPr>
        <w:b/>
        <w:bCs/>
        <w:color w:val="1F497D" w:themeColor="text2"/>
        <w:sz w:val="18"/>
        <w:szCs w:val="18"/>
      </w:rPr>
      <w:fldChar w:fldCharType="end"/>
    </w:r>
  </w:p>
  <w:p>
    <w:pPr>
      <w:pStyle w:val="Pieddepage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RGPD : Règlement Général sur la Protection des Données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"/>
      <w:lvlJc w:val="left"/>
      <w:pPr>
        <w:tabs>
          <w:tab w:val="num" w:pos="1134"/>
        </w:tabs>
      </w:pPr>
      <w:rPr>
        <w:rFonts w:ascii="Symbol" w:hAnsi="Symbol"/>
        <w:sz w:val="22"/>
      </w:rPr>
    </w:lvl>
  </w:abstractNum>
  <w:abstractNum w:abstractNumId="3" w15:restartNumberingAfterBreak="0">
    <w:nsid w:val="00000003"/>
    <w:multiLevelType w:val="singleLevel"/>
    <w:tmpl w:val="0000000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/>
        <w:sz w:val="22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"/>
      <w:lvlJc w:val="left"/>
      <w:pPr>
        <w:tabs>
          <w:tab w:val="num" w:pos="1134"/>
        </w:tabs>
      </w:pPr>
      <w:rPr>
        <w:rFonts w:ascii="Symbol" w:hAnsi="Symbol"/>
      </w:rPr>
    </w:lvl>
  </w:abstractNum>
  <w:abstractNum w:abstractNumId="5" w15:restartNumberingAfterBreak="0">
    <w:nsid w:val="0C5131C7"/>
    <w:multiLevelType w:val="multilevel"/>
    <w:tmpl w:val="A5960B16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MS Serif" w:hint="default"/>
      </w:rPr>
    </w:lvl>
    <w:lvl w:ilvl="2">
      <w:start w:val="1"/>
      <w:numFmt w:val="bullet"/>
      <w:lvlText w:val=""/>
      <w:lvlJc w:val="left"/>
      <w:pPr>
        <w:tabs>
          <w:tab w:val="num" w:pos="2015"/>
        </w:tabs>
        <w:ind w:left="1995" w:hanging="340"/>
      </w:pPr>
      <w:rPr>
        <w:rFonts w:ascii="Wingdings" w:hAnsi="Wingdings" w:hint="default"/>
        <w:color w:val="auto"/>
        <w:sz w:val="14"/>
        <w:szCs w:val="14"/>
      </w:rPr>
    </w:lvl>
    <w:lvl w:ilvl="3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cs="MS Serif" w:hint="default"/>
      </w:rPr>
    </w:lvl>
    <w:lvl w:ilvl="5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cs="M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1505BF1"/>
    <w:multiLevelType w:val="singleLevel"/>
    <w:tmpl w:val="6ED69D1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7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8FE6068"/>
    <w:multiLevelType w:val="hybridMultilevel"/>
    <w:tmpl w:val="64FC8DAC"/>
    <w:lvl w:ilvl="0" w:tplc="726C1308">
      <w:start w:val="1"/>
      <w:numFmt w:val="bullet"/>
      <w:lvlText w:val=""/>
      <w:lvlJc w:val="left"/>
      <w:pPr>
        <w:tabs>
          <w:tab w:val="num" w:pos="1353"/>
        </w:tabs>
        <w:ind w:left="1333" w:hanging="34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10" w15:restartNumberingAfterBreak="0">
    <w:nsid w:val="6BF576FC"/>
    <w:multiLevelType w:val="singleLevel"/>
    <w:tmpl w:val="080C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84CCA3D-DD4A-4CE9-9DFE-846EAA4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/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A7E1-1F53-4543-B993-D69719D1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905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    DOSSIER PEDAGOGIQUE</vt:lpstr>
      <vt:lpstr/>
      <vt:lpstr>    UNITE D’ENSEIGNEMENT </vt:lpstr>
      <vt:lpstr>    NOTIONS DE DROIT PRIVE</vt:lpstr>
      <vt:lpstr>Capacités</vt:lpstr>
      <vt:lpstr>2.2.	Titre pouvant en tenir lieu</vt:lpstr>
      <vt:lpstr>C.E.S.S.</vt:lpstr>
      <vt:lpstr/>
      <vt:lpstr/>
    </vt:vector>
  </TitlesOfParts>
  <Company>Institut Ferdinand Cocq Ixelles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36</cp:revision>
  <cp:lastPrinted>2018-03-20T20:10:00Z</cp:lastPrinted>
  <dcterms:created xsi:type="dcterms:W3CDTF">2018-05-04T08:08:00Z</dcterms:created>
  <dcterms:modified xsi:type="dcterms:W3CDTF">2019-12-19T09:49:00Z</dcterms:modified>
</cp:coreProperties>
</file>