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bookmarkStart w:id="0" w:name="_Hlk536453327"/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rPr>
          <w:rFonts w:ascii="Times New Roman" w:hAnsi="Times New Roman"/>
          <w:b/>
          <w:noProof w:val="0"/>
          <w:sz w:val="28"/>
        </w:rPr>
      </w:pPr>
    </w:p>
    <w:p/>
    <w:p/>
    <w:p/>
    <w:p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UNITE D’ENSEIGNEMENT</w:t>
      </w: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bookmarkEnd w:id="0"/>
    <w:p>
      <w:pPr>
        <w:jc w:val="center"/>
        <w:rPr>
          <w:sz w:val="22"/>
        </w:rPr>
      </w:pPr>
    </w:p>
    <w:p>
      <w:pPr>
        <w:pStyle w:val="Corpsdetexte2"/>
      </w:pPr>
      <w:r>
        <w:t>PROCEDUREs CIVILE ET PENALE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bookmarkStart w:id="1" w:name="_Hlk536453343"/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</w:p>
    <w:p>
      <w:pPr>
        <w:jc w:val="center"/>
        <w:rPr>
          <w:b/>
          <w:caps/>
          <w:noProof/>
        </w:rPr>
      </w:pPr>
      <w:bookmarkStart w:id="2" w:name="_Hlk536791536"/>
      <w:r>
        <w:rPr>
          <w:b/>
          <w:caps/>
          <w:noProof/>
        </w:rPr>
        <w:t>Domaine : Sciences juridiques</w:t>
      </w:r>
    </w:p>
    <w:bookmarkEnd w:id="2"/>
    <w:p/>
    <w:p/>
    <w:p/>
    <w:p/>
    <w:p/>
    <w:p/>
    <w:p/>
    <w:p/>
    <w:bookmarkEnd w:id="1"/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713705U32D1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 : 703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outlineLvl w:val="0"/>
        <w:rPr>
          <w:b/>
        </w:rPr>
      </w:pPr>
      <w:bookmarkStart w:id="3" w:name="_Hlk536453401"/>
      <w:r>
        <w:rPr>
          <w:b/>
        </w:rPr>
        <w:t>Approbation du Gouvernement de la Communauté française du 06 novembre 2019</w:t>
      </w:r>
      <w:bookmarkStart w:id="4" w:name="_GoBack"/>
      <w:bookmarkEnd w:id="4"/>
      <w:r>
        <w:rPr>
          <w:b/>
        </w:rPr>
        <w:t>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bookmarkEnd w:id="3"/>
    <w:p>
      <w:pPr>
        <w:pStyle w:val="Texte"/>
        <w:widowControl/>
      </w:pPr>
      <w:r>
        <w:br w:type="page"/>
      </w:r>
    </w:p>
    <w:p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PROCEDUREs CIVILE ET PENALE</w:t>
            </w:r>
          </w:p>
          <w:p>
            <w:pPr>
              <w:jc w:val="center"/>
              <w:rPr>
                <w:b/>
                <w:caps/>
                <w:sz w:val="28"/>
              </w:rPr>
            </w:pPr>
          </w:p>
          <w:p>
            <w:pPr>
              <w:spacing w:before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/>
    <w:p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D’ENSEIGNEMENT</w:t>
      </w:r>
    </w:p>
    <w:p/>
    <w:p>
      <w:pPr>
        <w:tabs>
          <w:tab w:val="left" w:pos="851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pStyle w:val="Retraitcorpsdetexte2"/>
        <w:ind w:left="851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1"/>
        </w:numPr>
        <w:tabs>
          <w:tab w:val="clear" w:pos="927"/>
          <w:tab w:val="num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tabs>
          <w:tab w:val="clear" w:pos="927"/>
          <w:tab w:val="num" w:pos="1134"/>
        </w:tabs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et, d’une manière générale, des milieux socio-économiques et culturels.</w:t>
      </w:r>
    </w:p>
    <w:p>
      <w:pPr>
        <w:tabs>
          <w:tab w:val="num" w:pos="851"/>
        </w:tabs>
        <w:rPr>
          <w:sz w:val="22"/>
        </w:rPr>
      </w:pPr>
    </w:p>
    <w:p>
      <w:pPr>
        <w:tabs>
          <w:tab w:val="left" w:pos="851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Retraitcorpsdetexte2"/>
        <w:ind w:left="851"/>
      </w:pPr>
      <w:r>
        <w:t>L’unité d’enseignement vise à permettre à l’étudiant de s’approprier des connaissances générales relatives au fonctionnement des instances judiciaires en matière civile et pénale.</w:t>
      </w:r>
    </w:p>
    <w:p>
      <w:pPr>
        <w:rPr>
          <w:sz w:val="22"/>
        </w:rPr>
      </w:pPr>
    </w:p>
    <w:p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 xml:space="preserve">2. </w:t>
      </w:r>
      <w:r>
        <w:rPr>
          <w:b/>
          <w:sz w:val="22"/>
        </w:rPr>
        <w:tab/>
        <w:t>CAPACITES PREALABLES REQUISES</w:t>
      </w:r>
    </w:p>
    <w:p>
      <w:pPr>
        <w:suppressAutoHyphens/>
        <w:autoSpaceDE w:val="0"/>
        <w:ind w:left="425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</w:t>
      </w: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2.1.  Capacités</w:t>
      </w: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</w:p>
    <w:p>
      <w:pPr>
        <w:tabs>
          <w:tab w:val="left" w:pos="708"/>
        </w:tabs>
        <w:suppressAutoHyphens/>
        <w:autoSpaceDE w:val="0"/>
        <w:spacing w:before="120" w:after="120"/>
        <w:ind w:left="854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En Droit civil : </w:t>
      </w:r>
    </w:p>
    <w:p>
      <w:pPr>
        <w:numPr>
          <w:ilvl w:val="12"/>
          <w:numId w:val="0"/>
        </w:numPr>
        <w:spacing w:after="120"/>
        <w:ind w:left="851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juridiques simples, concernant les personnes, les biens, les contrats et les obligations :</w:t>
      </w:r>
    </w:p>
    <w:p>
      <w:pPr>
        <w:numPr>
          <w:ilvl w:val="0"/>
          <w:numId w:val="11"/>
        </w:numPr>
        <w:tabs>
          <w:tab w:val="left" w:pos="1214"/>
        </w:tabs>
        <w:suppressAutoHyphens/>
        <w:autoSpaceDE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d’analyser et d’abstraire la situation juridique correspondante par le recours aux règles de droit civil la régissant et en utilisant le vocabulaire adéquat ;</w:t>
      </w:r>
    </w:p>
    <w:p>
      <w:pPr>
        <w:numPr>
          <w:ilvl w:val="0"/>
          <w:numId w:val="11"/>
        </w:numPr>
        <w:tabs>
          <w:tab w:val="left" w:pos="1214"/>
        </w:tabs>
        <w:suppressAutoHyphens/>
        <w:autoSpaceDE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de les résoudre par l’application des notions de droit civil qui les régissent.</w:t>
      </w:r>
    </w:p>
    <w:p>
      <w:pPr>
        <w:suppressAutoHyphens/>
        <w:autoSpaceDE w:val="0"/>
        <w:rPr>
          <w:b/>
          <w:bCs/>
          <w:sz w:val="22"/>
          <w:szCs w:val="22"/>
          <w:lang w:eastAsia="ar-SA"/>
        </w:rPr>
      </w:pPr>
    </w:p>
    <w:p>
      <w:pPr>
        <w:suppressAutoHyphens/>
        <w:autoSpaceDE w:val="0"/>
        <w:rPr>
          <w:b/>
          <w:bCs/>
          <w:sz w:val="22"/>
          <w:szCs w:val="22"/>
          <w:lang w:eastAsia="ar-SA"/>
        </w:rPr>
      </w:pP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2.2.  Titre pouvant en tenir lieu</w:t>
      </w:r>
    </w:p>
    <w:p>
      <w:pPr>
        <w:suppressAutoHyphens/>
        <w:autoSpaceDE w:val="0"/>
        <w:rPr>
          <w:sz w:val="22"/>
          <w:szCs w:val="22"/>
          <w:lang w:eastAsia="ar-SA"/>
        </w:rPr>
      </w:pPr>
    </w:p>
    <w:p>
      <w:pPr>
        <w:tabs>
          <w:tab w:val="left" w:pos="708"/>
        </w:tabs>
        <w:suppressAutoHyphens/>
        <w:autoSpaceDE w:val="0"/>
        <w:spacing w:before="120" w:after="120"/>
        <w:ind w:left="85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Attestation de réussite de l’unité d’enseignement « </w:t>
      </w:r>
      <w:r>
        <w:rPr>
          <w:b/>
          <w:iCs/>
          <w:sz w:val="22"/>
          <w:szCs w:val="22"/>
          <w:lang w:eastAsia="ar-SA"/>
        </w:rPr>
        <w:t>Droit civil</w:t>
      </w:r>
      <w:r>
        <w:rPr>
          <w:iCs/>
          <w:sz w:val="22"/>
          <w:szCs w:val="22"/>
          <w:lang w:eastAsia="ar-SA"/>
        </w:rPr>
        <w:t> » code n° 713201U32D3</w:t>
      </w:r>
    </w:p>
    <w:p>
      <w:pPr>
        <w:tabs>
          <w:tab w:val="left" w:pos="708"/>
        </w:tabs>
        <w:suppressAutoHyphens/>
        <w:autoSpaceDE w:val="0"/>
        <w:spacing w:before="120" w:after="120"/>
        <w:ind w:left="854"/>
        <w:jc w:val="both"/>
        <w:rPr>
          <w:iCs/>
          <w:sz w:val="22"/>
          <w:szCs w:val="22"/>
          <w:lang w:eastAsia="ar-SA"/>
        </w:rPr>
      </w:pPr>
    </w:p>
    <w:p>
      <w:pPr>
        <w:ind w:left="851"/>
        <w:jc w:val="both"/>
        <w:rPr>
          <w:sz w:val="22"/>
        </w:rPr>
      </w:pPr>
    </w:p>
    <w:p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ACQUIS D’APPRENTISSAGE</w:t>
      </w:r>
    </w:p>
    <w:p>
      <w:pPr>
        <w:jc w:val="both"/>
        <w:rPr>
          <w:b/>
          <w:sz w:val="22"/>
        </w:rPr>
      </w:pPr>
    </w:p>
    <w:p>
      <w:pPr>
        <w:spacing w:after="120"/>
        <w:ind w:left="567" w:hanging="142"/>
        <w:jc w:val="both"/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devra prouver qu’il est capable,</w:t>
      </w:r>
      <w:r>
        <w:t xml:space="preserve"> </w:t>
      </w:r>
    </w:p>
    <w:p>
      <w:pPr>
        <w:ind w:left="425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mettant en œuvre des litiges en matière civile et pénale, </w:t>
      </w:r>
    </w:p>
    <w:p>
      <w:pPr>
        <w:ind w:left="425"/>
        <w:jc w:val="both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disposant des textes législatifs y afférents,</w:t>
      </w:r>
    </w:p>
    <w:p>
      <w:pPr>
        <w:ind w:left="425"/>
        <w:jc w:val="both"/>
        <w:rPr>
          <w:i/>
          <w:sz w:val="22"/>
        </w:rPr>
      </w:pP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d’identifier la juridiction compétente et de décrire les étapes de la procédure.</w:t>
      </w:r>
    </w:p>
    <w:p>
      <w:pPr>
        <w:spacing w:after="120"/>
        <w:ind w:left="425"/>
        <w:jc w:val="both"/>
        <w:rPr>
          <w:b/>
          <w:sz w:val="22"/>
        </w:rPr>
      </w:pPr>
    </w:p>
    <w:p>
      <w:pPr>
        <w:spacing w:after="120"/>
        <w:ind w:left="425"/>
        <w:jc w:val="both"/>
        <w:rPr>
          <w:b/>
          <w:sz w:val="22"/>
        </w:rPr>
      </w:pPr>
    </w:p>
    <w:p>
      <w:pPr>
        <w:spacing w:after="120"/>
        <w:ind w:left="425"/>
        <w:jc w:val="both"/>
        <w:rPr>
          <w:b/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 xml:space="preserve">le niveau de cohérence : la capacité à établir une majorité de liens logiques pour former un ensemble organisé, 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pStyle w:val="Paragraphedeliste"/>
        <w:numPr>
          <w:ilvl w:val="0"/>
          <w:numId w:val="5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PROGRAMME</w:t>
      </w:r>
    </w:p>
    <w:p>
      <w:pPr>
        <w:pStyle w:val="Paragraphedeliste"/>
        <w:tabs>
          <w:tab w:val="left" w:pos="426"/>
        </w:tabs>
        <w:rPr>
          <w:b/>
          <w:sz w:val="22"/>
        </w:rPr>
      </w:pPr>
    </w:p>
    <w:p>
      <w:pPr>
        <w:ind w:left="425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mettant en œuvre des litiges en matière civile et pénale, </w:t>
      </w:r>
    </w:p>
    <w:p>
      <w:pPr>
        <w:ind w:left="425"/>
        <w:jc w:val="both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disposant des textes législatifs y afférents,</w:t>
      </w:r>
    </w:p>
    <w:p>
      <w:pPr>
        <w:ind w:left="425"/>
        <w:jc w:val="both"/>
        <w:rPr>
          <w:i/>
          <w:sz w:val="22"/>
        </w:rPr>
      </w:pPr>
    </w:p>
    <w:p>
      <w:pPr>
        <w:spacing w:after="120"/>
        <w:ind w:left="426"/>
        <w:jc w:val="both"/>
        <w:rPr>
          <w:sz w:val="22"/>
        </w:rPr>
      </w:pPr>
      <w:proofErr w:type="gramStart"/>
      <w:r>
        <w:rPr>
          <w:sz w:val="22"/>
        </w:rPr>
        <w:t>l’étudiant</w:t>
      </w:r>
      <w:proofErr w:type="gramEnd"/>
      <w:r>
        <w:rPr>
          <w:sz w:val="22"/>
        </w:rPr>
        <w:t xml:space="preserve"> sera capable :</w:t>
      </w:r>
    </w:p>
    <w:p>
      <w:pPr>
        <w:numPr>
          <w:ilvl w:val="0"/>
          <w:numId w:val="9"/>
        </w:numPr>
        <w:tabs>
          <w:tab w:val="num" w:pos="709"/>
        </w:tabs>
        <w:spacing w:before="120" w:after="120"/>
        <w:ind w:left="709" w:hanging="284"/>
        <w:jc w:val="both"/>
        <w:rPr>
          <w:sz w:val="22"/>
        </w:rPr>
      </w:pPr>
      <w:r>
        <w:rPr>
          <w:sz w:val="22"/>
        </w:rPr>
        <w:t>d’identifier les juridictions existantes en matière civile et pénale ;</w:t>
      </w:r>
    </w:p>
    <w:p>
      <w:pPr>
        <w:numPr>
          <w:ilvl w:val="0"/>
          <w:numId w:val="9"/>
        </w:numPr>
        <w:tabs>
          <w:tab w:val="num" w:pos="709"/>
        </w:tabs>
        <w:spacing w:before="120" w:after="120"/>
        <w:ind w:left="709" w:hanging="284"/>
        <w:jc w:val="both"/>
        <w:rPr>
          <w:sz w:val="22"/>
        </w:rPr>
      </w:pPr>
      <w:r>
        <w:rPr>
          <w:sz w:val="22"/>
        </w:rPr>
        <w:t>de déterminer la juridiction matériellement et territorialement compétente ;</w:t>
      </w:r>
    </w:p>
    <w:p>
      <w:pPr>
        <w:numPr>
          <w:ilvl w:val="0"/>
          <w:numId w:val="9"/>
        </w:numPr>
        <w:tabs>
          <w:tab w:val="num" w:pos="709"/>
        </w:tabs>
        <w:spacing w:after="120"/>
        <w:ind w:left="709" w:hanging="284"/>
        <w:jc w:val="both"/>
        <w:rPr>
          <w:sz w:val="22"/>
        </w:rPr>
      </w:pPr>
      <w:r>
        <w:rPr>
          <w:sz w:val="22"/>
        </w:rPr>
        <w:t>d’expliciter les différentes procédures judiciaires et leur déroulement.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pStyle w:val="Paragraphedeliste"/>
        <w:numPr>
          <w:ilvl w:val="0"/>
          <w:numId w:val="5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ind w:left="426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284"/>
        <w:jc w:val="both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5"/>
        </w:numPr>
        <w:tabs>
          <w:tab w:val="left" w:pos="426"/>
        </w:tabs>
        <w:ind w:left="426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 xml:space="preserve">Aucune recommandation. 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numPr>
          <w:ilvl w:val="0"/>
          <w:numId w:val="5"/>
        </w:numPr>
        <w:tabs>
          <w:tab w:val="left" w:pos="426"/>
        </w:tabs>
        <w:ind w:left="426"/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numPr>
          <w:ilvl w:val="12"/>
          <w:numId w:val="0"/>
        </w:numPr>
        <w:tabs>
          <w:tab w:val="left" w:pos="567"/>
        </w:tabs>
        <w:ind w:left="708" w:hanging="566"/>
      </w:pPr>
    </w:p>
    <w:tbl>
      <w:tblPr>
        <w:tblW w:w="8788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701"/>
        <w:gridCol w:w="1701"/>
      </w:tblGrid>
      <w:t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Nombre de périodes</w:t>
            </w:r>
          </w:p>
        </w:tc>
      </w:tr>
      <w:tr>
        <w:tc>
          <w:tcPr>
            <w:tcW w:w="3685" w:type="dxa"/>
            <w:tcBorders>
              <w:top w:val="nil"/>
              <w:left w:val="single" w:sz="12" w:space="0" w:color="auto"/>
              <w:bottom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Procédures civile et pénale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>
            <w:pPr>
              <w:ind w:right="724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ab/>
              <w:t>7.2. Part d’autonomie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ind w:right="72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  </w:t>
            </w:r>
          </w:p>
        </w:tc>
      </w:tr>
      <w:tr>
        <w:tc>
          <w:tcPr>
            <w:tcW w:w="36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>
            <w:pPr>
              <w:ind w:right="7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tabs>
          <w:tab w:val="left" w:pos="426"/>
        </w:tabs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Procédures civile et pénale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402D5C2"/>
    <w:name w:val="WW8Num6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/>
        <w:strike w:val="0"/>
        <w:color w:val="auto"/>
      </w:rPr>
    </w:lvl>
  </w:abstractNum>
  <w:abstractNum w:abstractNumId="1" w15:restartNumberingAfterBreak="0">
    <w:nsid w:val="09F10477"/>
    <w:multiLevelType w:val="hybridMultilevel"/>
    <w:tmpl w:val="5288B6B2"/>
    <w:lvl w:ilvl="0" w:tplc="F01E4F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7C9F"/>
    <w:multiLevelType w:val="hybridMultilevel"/>
    <w:tmpl w:val="4A30A08A"/>
    <w:lvl w:ilvl="0" w:tplc="C396E666"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34F"/>
    <w:multiLevelType w:val="singleLevel"/>
    <w:tmpl w:val="9550CB54"/>
    <w:lvl w:ilvl="0">
      <w:numFmt w:val="bullet"/>
      <w:lvlText w:val="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79B1AD5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C2225EA"/>
    <w:multiLevelType w:val="singleLevel"/>
    <w:tmpl w:val="17580158"/>
    <w:lvl w:ilvl="0">
      <w:numFmt w:val="bullet"/>
      <w:lvlText w:val=""/>
      <w:lvlJc w:val="left"/>
      <w:pPr>
        <w:tabs>
          <w:tab w:val="num" w:pos="2204"/>
        </w:tabs>
        <w:ind w:left="2128" w:hanging="284"/>
      </w:pPr>
      <w:rPr>
        <w:rFonts w:ascii="Symbol" w:hAnsi="Symbol" w:hint="default"/>
        <w:sz w:val="22"/>
      </w:rPr>
    </w:lvl>
  </w:abstractNum>
  <w:abstractNum w:abstractNumId="6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52D86D10"/>
    <w:multiLevelType w:val="singleLevel"/>
    <w:tmpl w:val="C396E666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8" w15:restartNumberingAfterBreak="0">
    <w:nsid w:val="700F47B7"/>
    <w:multiLevelType w:val="hybridMultilevel"/>
    <w:tmpl w:val="F06ADD46"/>
    <w:lvl w:ilvl="0" w:tplc="28BC40F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2377ADC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C540530"/>
    <w:multiLevelType w:val="hybridMultilevel"/>
    <w:tmpl w:val="46EAE792"/>
    <w:lvl w:ilvl="0" w:tplc="C396E666">
      <w:numFmt w:val="bullet"/>
      <w:lvlText w:val="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DEB78DC-D8C4-4F1A-835E-358C04EC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widowControl w:val="0"/>
    </w:pPr>
    <w:rPr>
      <w:rFonts w:ascii="MS Serif" w:hAnsi="MS Serif"/>
      <w:noProof/>
      <w:snapToGrid w:val="0"/>
    </w:rPr>
  </w:style>
  <w:style w:type="paragraph" w:styleId="Corpsdetexte2">
    <w:name w:val="Body Text 2"/>
    <w:basedOn w:val="Normal"/>
    <w:link w:val="Corpsdetexte2Car"/>
    <w:pPr>
      <w:jc w:val="center"/>
    </w:pPr>
    <w:rPr>
      <w:b/>
      <w:caps/>
      <w:sz w:val="32"/>
    </w:rPr>
  </w:style>
  <w:style w:type="character" w:customStyle="1" w:styleId="Corpsdetexte2Car">
    <w:name w:val="Corps de texte 2 Car"/>
    <w:basedOn w:val="Policepardfaut"/>
    <w:link w:val="Corpsdetexte2"/>
    <w:rPr>
      <w:rFonts w:ascii="Times New Roman" w:eastAsia="Times New Roman" w:hAnsi="Times New Roman" w:cs="Times New Roman"/>
      <w:b/>
      <w:caps/>
      <w:sz w:val="32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/>
      <w:ind w:left="426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Dupont</dc:creator>
  <cp:lastModifiedBy>goulet02</cp:lastModifiedBy>
  <cp:revision>16</cp:revision>
  <dcterms:created xsi:type="dcterms:W3CDTF">2018-05-07T15:39:00Z</dcterms:created>
  <dcterms:modified xsi:type="dcterms:W3CDTF">2020-01-08T10:33:00Z</dcterms:modified>
</cp:coreProperties>
</file>