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szCs w:val="22"/>
        </w:rPr>
      </w:pPr>
      <w:r>
        <w:rPr>
          <w:rFonts w:ascii="Times New Roman" w:hAnsi="Times New Roman"/>
          <w:b/>
          <w:sz w:val="22"/>
          <w:szCs w:val="22"/>
        </w:rPr>
        <w:t>MINISTERE DE LA COMMUNAUTE FRANCAISE</w:t>
      </w:r>
    </w:p>
    <w:p>
      <w:pPr>
        <w:pStyle w:val="Texte"/>
        <w:jc w:val="center"/>
        <w:rPr>
          <w:rFonts w:ascii="Times New Roman" w:hAnsi="Times New Roman"/>
          <w:bCs/>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ADMINISTRATION GENERALE DE L’ENSEIGNEMENT</w:t>
      </w:r>
    </w:p>
    <w:p>
      <w:pPr>
        <w:pStyle w:val="Texte"/>
        <w:jc w:val="center"/>
        <w:rPr>
          <w:rFonts w:ascii="Times New Roman" w:hAnsi="Times New Roman"/>
          <w:sz w:val="22"/>
          <w:szCs w:val="22"/>
          <w:lang w:val="fr-FR"/>
        </w:rPr>
      </w:pPr>
    </w:p>
    <w:p>
      <w:pPr>
        <w:pStyle w:val="Texte"/>
        <w:jc w:val="center"/>
        <w:rPr>
          <w:rFonts w:ascii="Times New Roman" w:hAnsi="Times New Roman"/>
          <w:b/>
          <w:sz w:val="22"/>
          <w:szCs w:val="22"/>
          <w:lang w:val="fr-FR"/>
        </w:rPr>
      </w:pPr>
      <w:r>
        <w:rPr>
          <w:rFonts w:ascii="Times New Roman" w:hAnsi="Times New Roman"/>
          <w:b/>
          <w:sz w:val="22"/>
          <w:szCs w:val="22"/>
          <w:lang w:val="fr-FR"/>
        </w:rPr>
        <w:t xml:space="preserve">ENSEIGNEMENT DE PROMOTION SOCIALE </w:t>
      </w: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exte"/>
        <w:jc w:val="center"/>
        <w:rPr>
          <w:rFonts w:ascii="Times New Roman" w:hAnsi="Times New Roman"/>
          <w:bCs/>
          <w:sz w:val="22"/>
          <w:szCs w:val="22"/>
          <w:lang w:val="fr-FR"/>
        </w:rPr>
      </w:pPr>
    </w:p>
    <w:p>
      <w:pPr>
        <w:pStyle w:val="Titre2"/>
        <w:tabs>
          <w:tab w:val="left" w:pos="0"/>
        </w:tabs>
        <w:rPr>
          <w:sz w:val="28"/>
          <w:szCs w:val="28"/>
        </w:rPr>
      </w:pPr>
      <w:r>
        <w:rPr>
          <w:sz w:val="28"/>
          <w:szCs w:val="28"/>
        </w:rPr>
        <w:t>DOSSIER PEDAGOGIQUE</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itre2"/>
        <w:rPr>
          <w:caps/>
          <w:sz w:val="24"/>
          <w:szCs w:val="24"/>
        </w:rPr>
      </w:pPr>
      <w:r>
        <w:rPr>
          <w:sz w:val="24"/>
          <w:szCs w:val="24"/>
        </w:rPr>
        <w:t>UNITE D'ENSEIGNEMENT</w:t>
      </w:r>
      <w:r>
        <w:rPr>
          <w:b w:val="0"/>
          <w:bCs w:val="0"/>
          <w:sz w:val="24"/>
          <w:szCs w:val="24"/>
        </w:rPr>
        <w:t xml:space="preserve"> </w:t>
      </w: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pStyle w:val="Texte"/>
        <w:jc w:val="center"/>
        <w:rPr>
          <w:rFonts w:ascii="Times New Roman" w:hAnsi="Times New Roman"/>
          <w:sz w:val="22"/>
          <w:szCs w:val="22"/>
          <w:lang w:val="fr-FR"/>
        </w:rPr>
      </w:pPr>
    </w:p>
    <w:p>
      <w:pPr>
        <w:jc w:val="center"/>
        <w:rPr>
          <w:b/>
          <w:bCs/>
          <w:caps/>
          <w:sz w:val="30"/>
          <w:szCs w:val="30"/>
        </w:rPr>
      </w:pPr>
      <w:r>
        <w:rPr>
          <w:b/>
          <w:bCs/>
          <w:caps/>
          <w:sz w:val="30"/>
          <w:szCs w:val="30"/>
        </w:rPr>
        <w:t xml:space="preserve">Formation initiale obligatoire </w:t>
      </w:r>
    </w:p>
    <w:p>
      <w:pPr>
        <w:jc w:val="center"/>
        <w:rPr>
          <w:b/>
          <w:bCs/>
          <w:caps/>
          <w:sz w:val="30"/>
          <w:szCs w:val="30"/>
        </w:rPr>
      </w:pPr>
      <w:r>
        <w:rPr>
          <w:b/>
          <w:bCs/>
          <w:caps/>
          <w:sz w:val="30"/>
          <w:szCs w:val="30"/>
        </w:rPr>
        <w:t>des directeurs et directrices de l’enseignement :</w:t>
      </w:r>
    </w:p>
    <w:p>
      <w:pPr>
        <w:jc w:val="center"/>
        <w:rPr>
          <w:b/>
          <w:bCs/>
          <w:caps/>
          <w:sz w:val="30"/>
          <w:szCs w:val="30"/>
        </w:rPr>
      </w:pPr>
      <w:r>
        <w:rPr>
          <w:b/>
          <w:bCs/>
          <w:caps/>
          <w:sz w:val="30"/>
          <w:szCs w:val="30"/>
        </w:rPr>
        <w:t>Axe administratif</w:t>
      </w:r>
    </w:p>
    <w:p>
      <w:pPr>
        <w:jc w:val="center"/>
        <w:rPr>
          <w:caps/>
          <w:sz w:val="22"/>
          <w:szCs w:val="22"/>
        </w:rPr>
      </w:pPr>
    </w:p>
    <w:p>
      <w:pPr>
        <w:jc w:val="center"/>
        <w:rPr>
          <w:caps/>
          <w:sz w:val="22"/>
          <w:szCs w:val="22"/>
        </w:rPr>
      </w:pPr>
    </w:p>
    <w:p>
      <w:pPr>
        <w:jc w:val="center"/>
        <w:rPr>
          <w:b/>
          <w:bCs/>
          <w:caps/>
          <w:sz w:val="26"/>
          <w:szCs w:val="26"/>
        </w:rPr>
      </w:pPr>
      <w:r>
        <w:rPr>
          <w:b/>
          <w:bCs/>
          <w:caps/>
          <w:sz w:val="26"/>
          <w:szCs w:val="26"/>
        </w:rPr>
        <w:t>Volet inter-réseaux – Enseignement fondamental</w:t>
      </w: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b/>
          <w:bCs/>
          <w:sz w:val="24"/>
          <w:szCs w:val="24"/>
        </w:rPr>
      </w:pPr>
      <w:r>
        <w:rPr>
          <w:b/>
          <w:bCs/>
          <w:sz w:val="24"/>
          <w:szCs w:val="24"/>
        </w:rPr>
        <w:t>ENSEIGNEMENT SUPERIEUR DE TYPE COURT</w:t>
      </w:r>
    </w:p>
    <w:p>
      <w:pPr>
        <w:jc w:val="center"/>
        <w:rPr>
          <w:bCs/>
          <w:sz w:val="22"/>
          <w:szCs w:val="22"/>
        </w:rPr>
      </w:pPr>
      <w:r>
        <w:rPr>
          <w:bCs/>
          <w:sz w:val="22"/>
          <w:szCs w:val="22"/>
          <w:lang w:val="nl-BE"/>
        </w:rPr>
        <w:t>DOMAINE : SCIENCES ECONOMIQUE ET DE GESTION</w:t>
      </w:r>
    </w:p>
    <w:p>
      <w:pPr>
        <w:jc w:val="center"/>
        <w:rPr>
          <w:sz w:val="22"/>
          <w:szCs w:val="22"/>
        </w:rPr>
      </w:pPr>
    </w:p>
    <w:p>
      <w:pPr>
        <w:jc w:val="center"/>
        <w:rPr>
          <w:sz w:val="22"/>
          <w:szCs w:val="22"/>
        </w:rPr>
      </w:pPr>
    </w:p>
    <w:p>
      <w:pPr>
        <w:jc w:val="center"/>
        <w:rPr>
          <w:sz w:val="22"/>
          <w:szCs w:val="22"/>
        </w:rPr>
      </w:pPr>
    </w:p>
    <w:p>
      <w:pPr>
        <w:jc w:val="center"/>
        <w:rPr>
          <w:sz w:val="22"/>
          <w:szCs w:val="22"/>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szCs w:val="22"/>
                <w:lang w:val="nl-BE"/>
              </w:rPr>
              <w:t>CODE : 7156 46 U32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szCs w:val="22"/>
                <w:lang w:val="nl-BE"/>
              </w:rPr>
            </w:pPr>
            <w:r>
              <w:rPr>
                <w:rFonts w:ascii="Times New Roman" w:hAnsi="Times New Roman"/>
                <w:b/>
                <w:sz w:val="22"/>
                <w:szCs w:val="22"/>
                <w:lang w:val="nl-BE"/>
              </w:rPr>
              <w:t>CODE DU DOMAINE : 702</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szCs w:val="22"/>
                <w:lang w:val="fr-FR"/>
              </w:rPr>
            </w:pPr>
            <w:r>
              <w:rPr>
                <w:rFonts w:ascii="Times New Roman" w:hAnsi="Times New Roman"/>
                <w:b/>
                <w:sz w:val="22"/>
                <w:szCs w:val="22"/>
                <w:lang w:val="fr-FR"/>
              </w:rPr>
              <w:t>DOCUMENT DE REFERENCE INTER-RESEAUX</w:t>
            </w:r>
          </w:p>
        </w:tc>
      </w:tr>
    </w:tbl>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b/>
          <w:sz w:val="22"/>
          <w:szCs w:val="22"/>
        </w:rPr>
      </w:pPr>
      <w:r>
        <w:rPr>
          <w:b/>
          <w:sz w:val="22"/>
          <w:szCs w:val="22"/>
        </w:rPr>
        <w:t>Approbation du Gouvernement de la Communauté française du 04 novembre 2019,</w:t>
      </w:r>
    </w:p>
    <w:p>
      <w:pPr>
        <w:jc w:val="center"/>
        <w:rPr>
          <w:sz w:val="22"/>
          <w:szCs w:val="22"/>
          <w:lang w:val="fr-BE"/>
        </w:rPr>
      </w:pPr>
      <w:r>
        <w:rPr>
          <w:b/>
          <w:sz w:val="22"/>
          <w:szCs w:val="22"/>
        </w:rPr>
        <w:t>sur avis conforme du Conseil général</w:t>
      </w:r>
    </w:p>
    <w:p>
      <w:pPr>
        <w:suppressAutoHyphens w:val="0"/>
        <w:rPr>
          <w:sz w:val="22"/>
          <w:szCs w:val="22"/>
          <w:lang w:val="fr-BE"/>
        </w:rPr>
      </w:pPr>
      <w:r>
        <w:rPr>
          <w:sz w:val="22"/>
          <w:szCs w:val="22"/>
          <w:lang w:val="fr-BE"/>
        </w:rPr>
        <w:br w:type="page"/>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2"/>
                <w:szCs w:val="22"/>
              </w:rPr>
            </w:pP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Formation initiale obligatoire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des directeurs et directrices de l’enseignement : </w:t>
            </w:r>
          </w:p>
          <w:p>
            <w:pPr>
              <w:tabs>
                <w:tab w:val="left" w:pos="6237"/>
                <w:tab w:val="right" w:leader="dot" w:pos="9639"/>
              </w:tabs>
              <w:spacing w:before="240"/>
              <w:ind w:left="340"/>
              <w:contextualSpacing/>
              <w:jc w:val="center"/>
              <w:rPr>
                <w:b/>
                <w:caps/>
                <w:spacing w:val="-2"/>
                <w:sz w:val="28"/>
                <w:szCs w:val="28"/>
              </w:rPr>
            </w:pPr>
            <w:r>
              <w:rPr>
                <w:b/>
                <w:caps/>
                <w:spacing w:val="-2"/>
                <w:sz w:val="28"/>
                <w:szCs w:val="28"/>
              </w:rPr>
              <w:t xml:space="preserve">Axe administratif – </w:t>
            </w:r>
          </w:p>
          <w:p>
            <w:pPr>
              <w:tabs>
                <w:tab w:val="left" w:pos="6237"/>
                <w:tab w:val="right" w:leader="dot" w:pos="9639"/>
              </w:tabs>
              <w:spacing w:before="240"/>
              <w:ind w:left="340"/>
              <w:contextualSpacing/>
              <w:jc w:val="center"/>
              <w:rPr>
                <w:bCs/>
                <w:caps/>
                <w:spacing w:val="-2"/>
                <w:sz w:val="22"/>
                <w:szCs w:val="22"/>
              </w:rPr>
            </w:pPr>
          </w:p>
          <w:p>
            <w:pPr>
              <w:tabs>
                <w:tab w:val="left" w:pos="6237"/>
                <w:tab w:val="right" w:leader="dot" w:pos="9639"/>
              </w:tabs>
              <w:spacing w:before="240"/>
              <w:ind w:left="340"/>
              <w:contextualSpacing/>
              <w:jc w:val="center"/>
              <w:rPr>
                <w:caps/>
                <w:spacing w:val="-2"/>
                <w:sz w:val="24"/>
                <w:szCs w:val="24"/>
              </w:rPr>
            </w:pPr>
            <w:r>
              <w:rPr>
                <w:b/>
                <w:caps/>
                <w:spacing w:val="-2"/>
                <w:sz w:val="24"/>
                <w:szCs w:val="24"/>
              </w:rPr>
              <w:t>Volet Inter-réseaux – Enseignement fondamental</w:t>
            </w:r>
          </w:p>
          <w:p>
            <w:pPr>
              <w:jc w:val="center"/>
              <w:rPr>
                <w:bCs/>
                <w:sz w:val="22"/>
                <w:szCs w:val="22"/>
              </w:rPr>
            </w:pPr>
          </w:p>
          <w:p>
            <w:pPr>
              <w:jc w:val="center"/>
              <w:rPr>
                <w:b/>
                <w:caps/>
                <w:sz w:val="22"/>
                <w:szCs w:val="22"/>
              </w:rPr>
            </w:pPr>
            <w:r>
              <w:rPr>
                <w:b/>
                <w:caps/>
                <w:sz w:val="22"/>
                <w:szCs w:val="22"/>
              </w:rPr>
              <w:t>enseignement superieur DE TYPE COURT</w:t>
            </w:r>
          </w:p>
        </w:tc>
      </w:tr>
    </w:tbl>
    <w:p>
      <w:pPr>
        <w:rPr>
          <w:sz w:val="22"/>
          <w:szCs w:val="22"/>
        </w:rPr>
      </w:pPr>
    </w:p>
    <w:p>
      <w:pPr>
        <w:rPr>
          <w:sz w:val="22"/>
          <w:szCs w:val="22"/>
        </w:rPr>
      </w:pPr>
    </w:p>
    <w:p>
      <w:pPr>
        <w:numPr>
          <w:ilvl w:val="0"/>
          <w:numId w:val="2"/>
        </w:numPr>
        <w:rPr>
          <w:b/>
          <w:sz w:val="22"/>
          <w:szCs w:val="22"/>
        </w:rPr>
      </w:pPr>
      <w:r>
        <w:rPr>
          <w:b/>
          <w:sz w:val="22"/>
          <w:szCs w:val="22"/>
        </w:rPr>
        <w:t>FINALITES DE L’UNITE D'ENSEIGNEMENT</w:t>
      </w:r>
    </w:p>
    <w:p>
      <w:pPr>
        <w:rPr>
          <w:sz w:val="22"/>
          <w:szCs w:val="22"/>
        </w:rPr>
      </w:pPr>
    </w:p>
    <w:p>
      <w:pPr>
        <w:numPr>
          <w:ilvl w:val="1"/>
          <w:numId w:val="2"/>
        </w:numPr>
        <w:tabs>
          <w:tab w:val="left" w:pos="425"/>
          <w:tab w:val="left" w:pos="860"/>
        </w:tabs>
        <w:rPr>
          <w:b/>
          <w:sz w:val="22"/>
          <w:szCs w:val="22"/>
        </w:rPr>
      </w:pPr>
      <w:r>
        <w:rPr>
          <w:b/>
          <w:sz w:val="22"/>
          <w:szCs w:val="22"/>
        </w:rPr>
        <w:t>Finalités générales</w:t>
      </w:r>
    </w:p>
    <w:p>
      <w:pPr>
        <w:rPr>
          <w:sz w:val="22"/>
          <w:szCs w:val="22"/>
        </w:rPr>
      </w:pPr>
    </w:p>
    <w:p>
      <w:pPr>
        <w:suppressAutoHyphens w:val="0"/>
        <w:spacing w:after="120"/>
        <w:ind w:left="284"/>
        <w:jc w:val="both"/>
        <w:rPr>
          <w:sz w:val="22"/>
          <w:szCs w:val="22"/>
        </w:rPr>
      </w:pPr>
      <w:r>
        <w:rPr>
          <w:sz w:val="22"/>
          <w:szCs w:val="22"/>
        </w:rPr>
        <w:t>Conformément à l’article 7 du décret de la Communauté française du 16 avril 1991 organisant l'enseignement de promotion sociale, cette unité d'enseignement doit :</w:t>
      </w:r>
    </w:p>
    <w:p>
      <w:pPr>
        <w:numPr>
          <w:ilvl w:val="0"/>
          <w:numId w:val="3"/>
        </w:numPr>
        <w:suppressAutoHyphens w:val="0"/>
        <w:spacing w:after="120" w:line="276" w:lineRule="auto"/>
        <w:ind w:left="993" w:hanging="295"/>
        <w:jc w:val="both"/>
        <w:rPr>
          <w:sz w:val="22"/>
          <w:szCs w:val="22"/>
          <w:lang w:val="fr-BE"/>
        </w:rPr>
      </w:pPr>
      <w:r>
        <w:rPr>
          <w:sz w:val="22"/>
          <w:szCs w:val="22"/>
          <w:lang w:val="fr-BE"/>
        </w:rPr>
        <w:t>concourir à l’épanouissement individuel en promouvant une meilleure insertion professionnelle, sociale, culturelle et scolaire ;</w:t>
      </w:r>
    </w:p>
    <w:p>
      <w:pPr>
        <w:numPr>
          <w:ilvl w:val="0"/>
          <w:numId w:val="3"/>
        </w:numPr>
        <w:suppressAutoHyphens w:val="0"/>
        <w:spacing w:after="120" w:line="276" w:lineRule="auto"/>
        <w:ind w:left="993" w:hanging="295"/>
        <w:jc w:val="both"/>
        <w:rPr>
          <w:sz w:val="22"/>
          <w:szCs w:val="22"/>
          <w:lang w:val="fr-BE"/>
        </w:rPr>
      </w:pPr>
      <w:r>
        <w:rPr>
          <w:sz w:val="22"/>
          <w:szCs w:val="22"/>
          <w:lang w:val="fr-BE"/>
        </w:rPr>
        <w:t>répondre aux besoins et demandes en formation émanant des entreprises, des administrations, de l’enseignement et d’une manière générale des milieux socio-économiques et culturels.</w:t>
      </w:r>
    </w:p>
    <w:p>
      <w:pPr>
        <w:rPr>
          <w:sz w:val="22"/>
          <w:szCs w:val="22"/>
        </w:rPr>
      </w:pPr>
    </w:p>
    <w:p>
      <w:pPr>
        <w:numPr>
          <w:ilvl w:val="1"/>
          <w:numId w:val="2"/>
        </w:numPr>
        <w:tabs>
          <w:tab w:val="left" w:pos="425"/>
          <w:tab w:val="left" w:pos="860"/>
        </w:tabs>
        <w:rPr>
          <w:b/>
          <w:sz w:val="22"/>
          <w:szCs w:val="22"/>
        </w:rPr>
      </w:pPr>
      <w:r>
        <w:rPr>
          <w:b/>
          <w:sz w:val="22"/>
          <w:szCs w:val="22"/>
        </w:rPr>
        <w:t>Finalités particulières</w:t>
      </w:r>
    </w:p>
    <w:p>
      <w:pPr>
        <w:rPr>
          <w:sz w:val="22"/>
          <w:szCs w:val="22"/>
        </w:rPr>
      </w:pPr>
    </w:p>
    <w:p>
      <w:pPr>
        <w:suppressAutoHyphens w:val="0"/>
        <w:spacing w:after="120"/>
        <w:ind w:left="284"/>
        <w:jc w:val="both"/>
        <w:rPr>
          <w:sz w:val="22"/>
          <w:szCs w:val="22"/>
        </w:rPr>
      </w:pPr>
      <w:bookmarkStart w:id="0" w:name="FIP"/>
      <w:bookmarkEnd w:id="0"/>
      <w:r>
        <w:rPr>
          <w:sz w:val="22"/>
          <w:szCs w:val="22"/>
        </w:rPr>
        <w:t>Dans le respect de la législation en vigueur, cette unité d’enseignement vise à :</w:t>
      </w:r>
    </w:p>
    <w:p>
      <w:pPr>
        <w:numPr>
          <w:ilvl w:val="0"/>
          <w:numId w:val="3"/>
        </w:numPr>
        <w:suppressAutoHyphens w:val="0"/>
        <w:spacing w:after="120" w:line="276" w:lineRule="auto"/>
        <w:ind w:left="993" w:hanging="295"/>
        <w:jc w:val="both"/>
        <w:rPr>
          <w:sz w:val="22"/>
          <w:szCs w:val="22"/>
          <w:lang w:val="fr-BE"/>
        </w:rPr>
      </w:pPr>
      <w:r>
        <w:rPr>
          <w:sz w:val="22"/>
          <w:szCs w:val="22"/>
          <w:lang w:val="fr-BE"/>
        </w:rPr>
        <w:t>appréhender une vision d’ensemble du système éducatif d’un point de vue organisationnel ;</w:t>
      </w:r>
    </w:p>
    <w:p>
      <w:pPr>
        <w:numPr>
          <w:ilvl w:val="0"/>
          <w:numId w:val="3"/>
        </w:numPr>
        <w:suppressAutoHyphens w:val="0"/>
        <w:spacing w:after="120" w:line="276" w:lineRule="auto"/>
        <w:ind w:left="993" w:hanging="295"/>
        <w:jc w:val="both"/>
        <w:rPr>
          <w:sz w:val="22"/>
          <w:szCs w:val="22"/>
          <w:lang w:val="fr-BE"/>
        </w:rPr>
      </w:pPr>
      <w:r>
        <w:rPr>
          <w:sz w:val="22"/>
          <w:szCs w:val="22"/>
          <w:lang w:val="fr-BE"/>
        </w:rPr>
        <w:t>acquérir les éléments de base pour appréhender le cadre légal et réglementaire, la hiérarchie des normes et les principes généraux de droit ;</w:t>
      </w:r>
    </w:p>
    <w:p>
      <w:pPr>
        <w:numPr>
          <w:ilvl w:val="0"/>
          <w:numId w:val="3"/>
        </w:numPr>
        <w:suppressAutoHyphens w:val="0"/>
        <w:spacing w:after="120" w:line="276" w:lineRule="auto"/>
        <w:ind w:left="993" w:hanging="295"/>
        <w:jc w:val="both"/>
        <w:rPr>
          <w:sz w:val="22"/>
          <w:szCs w:val="22"/>
          <w:lang w:val="fr-BE"/>
        </w:rPr>
      </w:pPr>
      <w:r>
        <w:rPr>
          <w:sz w:val="22"/>
          <w:szCs w:val="22"/>
          <w:lang w:val="fr-BE"/>
        </w:rPr>
        <w:t>appréhender les principales bases légales pertinentes du niveau concerné ;</w:t>
      </w:r>
    </w:p>
    <w:p>
      <w:pPr>
        <w:numPr>
          <w:ilvl w:val="0"/>
          <w:numId w:val="3"/>
        </w:numPr>
        <w:suppressAutoHyphens w:val="0"/>
        <w:spacing w:after="120" w:line="276" w:lineRule="auto"/>
        <w:ind w:left="993" w:hanging="295"/>
        <w:jc w:val="both"/>
        <w:rPr>
          <w:sz w:val="22"/>
          <w:szCs w:val="22"/>
          <w:lang w:val="fr-BE"/>
        </w:rPr>
      </w:pPr>
      <w:r>
        <w:rPr>
          <w:sz w:val="22"/>
          <w:szCs w:val="22"/>
          <w:lang w:val="fr-BE"/>
        </w:rPr>
        <w:t>s’initier à une démarche de recherche dans les bases légales et réglementaires pour pouvoir résoudre des cas pratiques simples, actualiser et approfondir ses connaissances sur une problématique donnée ;</w:t>
      </w:r>
    </w:p>
    <w:p>
      <w:pPr>
        <w:numPr>
          <w:ilvl w:val="0"/>
          <w:numId w:val="3"/>
        </w:numPr>
        <w:suppressAutoHyphens w:val="0"/>
        <w:spacing w:after="120" w:line="276" w:lineRule="auto"/>
        <w:ind w:left="993" w:hanging="295"/>
        <w:jc w:val="both"/>
        <w:rPr>
          <w:sz w:val="22"/>
          <w:szCs w:val="22"/>
          <w:lang w:val="fr-BE"/>
        </w:rPr>
      </w:pPr>
      <w:r>
        <w:rPr>
          <w:sz w:val="22"/>
          <w:szCs w:val="22"/>
          <w:lang w:val="fr-BE"/>
        </w:rPr>
        <w:t xml:space="preserve">s’informer sur les principales applications-métiers numériques inter-réseaux en lien avec la gestion administrative de son établissement. </w:t>
      </w:r>
    </w:p>
    <w:p>
      <w:pPr>
        <w:rPr>
          <w:sz w:val="22"/>
          <w:szCs w:val="22"/>
        </w:rPr>
      </w:pPr>
    </w:p>
    <w:p>
      <w:pPr>
        <w:rPr>
          <w:sz w:val="22"/>
          <w:szCs w:val="22"/>
        </w:rPr>
      </w:pPr>
    </w:p>
    <w:p>
      <w:pPr>
        <w:numPr>
          <w:ilvl w:val="0"/>
          <w:numId w:val="2"/>
        </w:numPr>
        <w:rPr>
          <w:b/>
          <w:sz w:val="22"/>
          <w:szCs w:val="22"/>
        </w:rPr>
      </w:pPr>
      <w:r>
        <w:rPr>
          <w:b/>
          <w:sz w:val="22"/>
          <w:szCs w:val="22"/>
        </w:rPr>
        <w:t>CAPACITES PREALABLES REQUISES</w:t>
      </w:r>
    </w:p>
    <w:p>
      <w:pPr>
        <w:rPr>
          <w:sz w:val="22"/>
          <w:szCs w:val="22"/>
        </w:rPr>
      </w:pPr>
    </w:p>
    <w:p>
      <w:pPr>
        <w:suppressAutoHyphens w:val="0"/>
        <w:spacing w:after="120"/>
        <w:ind w:left="284"/>
        <w:jc w:val="both"/>
        <w:rPr>
          <w:sz w:val="22"/>
          <w:szCs w:val="22"/>
        </w:rPr>
      </w:pPr>
      <w:r>
        <w:rPr>
          <w:sz w:val="22"/>
          <w:szCs w:val="22"/>
        </w:rPr>
        <w:t xml:space="preserve">Remplir les conditions légales d’inscription précisées par le décret du 02 février 2007 fixant le statut des directeurs et directrices dans l’enseignement, tel que modifié.  </w:t>
      </w:r>
    </w:p>
    <w:p>
      <w:pPr>
        <w:rPr>
          <w:sz w:val="22"/>
          <w:szCs w:val="22"/>
        </w:rPr>
      </w:pPr>
    </w:p>
    <w:p>
      <w:pPr>
        <w:numPr>
          <w:ilvl w:val="1"/>
          <w:numId w:val="2"/>
        </w:numPr>
        <w:rPr>
          <w:b/>
          <w:sz w:val="22"/>
          <w:szCs w:val="22"/>
        </w:rPr>
      </w:pPr>
      <w:r>
        <w:rPr>
          <w:b/>
          <w:sz w:val="22"/>
          <w:szCs w:val="22"/>
        </w:rPr>
        <w:t>Titre pouvant en tenir lieu</w:t>
      </w:r>
    </w:p>
    <w:p>
      <w:pPr>
        <w:rPr>
          <w:sz w:val="22"/>
          <w:szCs w:val="22"/>
        </w:rPr>
      </w:pPr>
    </w:p>
    <w:p>
      <w:pPr>
        <w:suppressAutoHyphens w:val="0"/>
        <w:spacing w:after="120"/>
        <w:ind w:left="284"/>
        <w:jc w:val="both"/>
        <w:rPr>
          <w:sz w:val="22"/>
          <w:szCs w:val="22"/>
        </w:rPr>
      </w:pPr>
      <w:r>
        <w:rPr>
          <w:sz w:val="22"/>
          <w:szCs w:val="22"/>
        </w:rPr>
        <w:t>Néant.</w:t>
      </w:r>
    </w:p>
    <w:p>
      <w:pPr>
        <w:suppressAutoHyphens w:val="0"/>
        <w:rPr>
          <w:sz w:val="22"/>
          <w:szCs w:val="22"/>
        </w:rPr>
      </w:pPr>
      <w:r>
        <w:rPr>
          <w:sz w:val="22"/>
          <w:szCs w:val="22"/>
        </w:rPr>
        <w:br w:type="page"/>
      </w:r>
    </w:p>
    <w:p>
      <w:pPr>
        <w:numPr>
          <w:ilvl w:val="0"/>
          <w:numId w:val="2"/>
        </w:numPr>
        <w:jc w:val="both"/>
        <w:rPr>
          <w:b/>
          <w:sz w:val="22"/>
          <w:szCs w:val="22"/>
        </w:rPr>
      </w:pPr>
      <w:r>
        <w:rPr>
          <w:b/>
          <w:sz w:val="22"/>
          <w:szCs w:val="22"/>
        </w:rPr>
        <w:lastRenderedPageBreak/>
        <w:t>ACQUIS D'APPRENTISSAGE</w:t>
      </w:r>
    </w:p>
    <w:p>
      <w:pPr>
        <w:rPr>
          <w:sz w:val="22"/>
          <w:szCs w:val="22"/>
        </w:rPr>
      </w:pPr>
    </w:p>
    <w:p>
      <w:pPr>
        <w:widowControl w:val="0"/>
        <w:rPr>
          <w:rFonts w:eastAsia="SimSun"/>
          <w:i/>
          <w:iCs/>
          <w:sz w:val="22"/>
          <w:szCs w:val="22"/>
          <w:lang w:val="fr-BE" w:eastAsia="zh-CN" w:bidi="hi-IN"/>
        </w:rPr>
      </w:pPr>
      <w:r>
        <w:rPr>
          <w:rFonts w:eastAsia="SimSun"/>
          <w:i/>
          <w:iCs/>
          <w:sz w:val="22"/>
          <w:szCs w:val="22"/>
          <w:lang w:val="fr-BE" w:eastAsia="zh-CN" w:bidi="hi-IN"/>
        </w:rPr>
        <w:t xml:space="preserve">N.B. En vertu de l’article 15§1 du décret du 2 février 2007 fixant le statut des directeurs et directrices de l’enseignement, les candidat(e)s sont soit admis(es), soit refusé(e)s. Nul classement n’est établi. </w:t>
      </w:r>
    </w:p>
    <w:p>
      <w:pPr>
        <w:rPr>
          <w:sz w:val="22"/>
          <w:szCs w:val="22"/>
        </w:rPr>
      </w:pPr>
      <w:bookmarkStart w:id="1" w:name="CAT"/>
      <w:bookmarkEnd w:id="1"/>
    </w:p>
    <w:p>
      <w:pPr>
        <w:rPr>
          <w:b/>
          <w:sz w:val="22"/>
          <w:szCs w:val="22"/>
        </w:rPr>
      </w:pPr>
      <w:r>
        <w:rPr>
          <w:b/>
          <w:sz w:val="22"/>
          <w:szCs w:val="22"/>
        </w:rPr>
        <w:t>Pour atteindre le seuil de réussite, l’apprenant sera capable :</w:t>
      </w:r>
    </w:p>
    <w:p>
      <w:pPr>
        <w:rPr>
          <w:i/>
          <w:sz w:val="22"/>
          <w:szCs w:val="22"/>
        </w:rPr>
      </w:pPr>
    </w:p>
    <w:p>
      <w:pPr>
        <w:rPr>
          <w:i/>
          <w:sz w:val="22"/>
          <w:szCs w:val="22"/>
          <w:lang w:eastAsia="en-US"/>
        </w:rPr>
      </w:pPr>
      <w:r>
        <w:rPr>
          <w:i/>
          <w:sz w:val="22"/>
          <w:szCs w:val="22"/>
        </w:rPr>
        <w:t>Les modalités d’évaluation sont réalisées conformément aux dispositions définies par la négociation entre les opérateurs de formation et l’Institut de la Formation en cours de Carrière (IFC).</w:t>
      </w:r>
    </w:p>
    <w:p>
      <w:pPr>
        <w:rPr>
          <w:sz w:val="22"/>
          <w:szCs w:val="22"/>
        </w:rPr>
      </w:pPr>
    </w:p>
    <w:p>
      <w:pPr>
        <w:pStyle w:val="Listepuces2"/>
        <w:numPr>
          <w:ilvl w:val="0"/>
          <w:numId w:val="15"/>
        </w:numPr>
        <w:spacing w:after="40" w:line="276" w:lineRule="auto"/>
        <w:ind w:left="284" w:hanging="284"/>
        <w:rPr>
          <w:rFonts w:ascii="Times New Roman" w:hAnsi="Times New Roman" w:cs="Times New Roman"/>
        </w:rPr>
      </w:pPr>
      <w:r>
        <w:rPr>
          <w:rFonts w:ascii="Times New Roman" w:hAnsi="Times New Roman" w:cs="Times New Roman"/>
        </w:rPr>
        <w:t>de résoudre des cas pratiques relevant de la vie courante d’un établissement en application de la législation et de la réglementation en matière d’organisation générale de l’enseignement ou d’organisation générale d’un établissement d’enseignement fondamental :</w:t>
      </w:r>
    </w:p>
    <w:p>
      <w:pPr>
        <w:pStyle w:val="Listepuces3"/>
        <w:numPr>
          <w:ilvl w:val="0"/>
          <w:numId w:val="19"/>
        </w:numPr>
        <w:spacing w:after="120"/>
        <w:ind w:left="567" w:hanging="215"/>
        <w:rPr>
          <w:rFonts w:cs="Times New Roman"/>
          <w:sz w:val="22"/>
          <w:szCs w:val="22"/>
        </w:rPr>
      </w:pPr>
      <w:r>
        <w:rPr>
          <w:rFonts w:cs="Times New Roman"/>
          <w:sz w:val="22"/>
          <w:szCs w:val="22"/>
        </w:rPr>
        <w:t>en se référant aux bases légales communes à tous les réseaux d’enseignement,</w:t>
      </w:r>
    </w:p>
    <w:p>
      <w:pPr>
        <w:pStyle w:val="Listepuces3"/>
        <w:numPr>
          <w:ilvl w:val="0"/>
          <w:numId w:val="19"/>
        </w:numPr>
        <w:spacing w:after="120"/>
        <w:ind w:left="567" w:hanging="215"/>
        <w:rPr>
          <w:rFonts w:cs="Times New Roman"/>
          <w:sz w:val="22"/>
          <w:szCs w:val="22"/>
        </w:rPr>
      </w:pPr>
      <w:r>
        <w:rPr>
          <w:rFonts w:cs="Times New Roman"/>
          <w:sz w:val="22"/>
          <w:szCs w:val="22"/>
        </w:rPr>
        <w:t>en explicitant le sens et la portée de la législation et de la règlementation mobilisées.</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PROGRAMME</w:t>
      </w:r>
    </w:p>
    <w:p>
      <w:pPr>
        <w:rPr>
          <w:sz w:val="22"/>
          <w:szCs w:val="22"/>
        </w:rPr>
      </w:pPr>
    </w:p>
    <w:p>
      <w:pPr>
        <w:suppressAutoHyphens w:val="0"/>
        <w:autoSpaceDE w:val="0"/>
        <w:autoSpaceDN w:val="0"/>
        <w:adjustRightInd w:val="0"/>
        <w:spacing w:after="13" w:line="276" w:lineRule="auto"/>
        <w:contextualSpacing/>
        <w:jc w:val="both"/>
        <w:rPr>
          <w:sz w:val="22"/>
          <w:szCs w:val="22"/>
          <w:lang w:eastAsia="fr-BE"/>
        </w:rPr>
      </w:pPr>
      <w:r>
        <w:rPr>
          <w:i/>
          <w:sz w:val="22"/>
          <w:szCs w:val="22"/>
        </w:rPr>
        <w:t>Ces capacités sont travaillées au travers des contenus spécifiques déclinés dans le cahier spécial de charges de la formation initiale des directrices et directeurs de l’enseignement défini par l’IFC.</w:t>
      </w:r>
    </w:p>
    <w:p>
      <w:pPr>
        <w:suppressAutoHyphens w:val="0"/>
        <w:spacing w:after="120"/>
        <w:ind w:firstLine="360"/>
        <w:jc w:val="both"/>
        <w:rPr>
          <w:sz w:val="22"/>
          <w:szCs w:val="22"/>
          <w:lang w:eastAsia="en-US"/>
        </w:rPr>
      </w:pPr>
      <w:r>
        <w:rPr>
          <w:sz w:val="22"/>
          <w:szCs w:val="22"/>
          <w:lang w:eastAsia="en-US"/>
        </w:rPr>
        <w:t xml:space="preserve">L’étudiant sera capable : </w:t>
      </w:r>
    </w:p>
    <w:p>
      <w:pPr>
        <w:rPr>
          <w:sz w:val="22"/>
          <w:szCs w:val="22"/>
        </w:rPr>
      </w:pPr>
    </w:p>
    <w:p>
      <w:pPr>
        <w:suppressAutoHyphens w:val="0"/>
        <w:autoSpaceDE w:val="0"/>
        <w:autoSpaceDN w:val="0"/>
        <w:adjustRightInd w:val="0"/>
        <w:spacing w:after="13" w:line="276" w:lineRule="auto"/>
        <w:ind w:left="284"/>
        <w:contextualSpacing/>
        <w:jc w:val="both"/>
        <w:rPr>
          <w:i/>
          <w:sz w:val="22"/>
          <w:szCs w:val="22"/>
          <w:lang w:eastAsia="fr-BE"/>
        </w:rPr>
      </w:pPr>
      <w:r>
        <w:rPr>
          <w:i/>
          <w:sz w:val="22"/>
          <w:szCs w:val="22"/>
          <w:lang w:eastAsia="fr-BE"/>
        </w:rPr>
        <w:t>A propos des principes généraux, </w:t>
      </w:r>
    </w:p>
    <w:p>
      <w:pPr>
        <w:rPr>
          <w:sz w:val="22"/>
          <w:szCs w:val="22"/>
        </w:rPr>
      </w:pP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d’appréhender :</w:t>
      </w:r>
    </w:p>
    <w:p>
      <w:pPr>
        <w:pStyle w:val="Paragraphedeliste"/>
        <w:numPr>
          <w:ilvl w:val="1"/>
          <w:numId w:val="12"/>
        </w:numPr>
        <w:suppressAutoHyphens w:val="0"/>
        <w:autoSpaceDE w:val="0"/>
        <w:autoSpaceDN w:val="0"/>
        <w:adjustRightInd w:val="0"/>
        <w:spacing w:after="13" w:line="276" w:lineRule="auto"/>
        <w:ind w:left="993"/>
        <w:contextualSpacing/>
        <w:jc w:val="both"/>
        <w:rPr>
          <w:sz w:val="22"/>
          <w:szCs w:val="22"/>
        </w:rPr>
      </w:pPr>
      <w:r>
        <w:rPr>
          <w:sz w:val="22"/>
          <w:szCs w:val="22"/>
        </w:rPr>
        <w:t>les principales différences et similitudes entre une loi, un décret, une ordonnance, un arrêté, une circulaire,… Leurs origines, la hiérarchie des normes, les organes juridictionnels (Conseil d'Etat et Cour constitutionnelle),</w:t>
      </w:r>
    </w:p>
    <w:p>
      <w:pPr>
        <w:pStyle w:val="Paragraphedeliste"/>
        <w:numPr>
          <w:ilvl w:val="1"/>
          <w:numId w:val="12"/>
        </w:numPr>
        <w:suppressAutoHyphens w:val="0"/>
        <w:autoSpaceDE w:val="0"/>
        <w:autoSpaceDN w:val="0"/>
        <w:adjustRightInd w:val="0"/>
        <w:spacing w:after="13" w:line="276" w:lineRule="auto"/>
        <w:ind w:left="993"/>
        <w:contextualSpacing/>
        <w:jc w:val="both"/>
        <w:rPr>
          <w:sz w:val="22"/>
          <w:szCs w:val="22"/>
        </w:rPr>
      </w:pPr>
      <w:r>
        <w:rPr>
          <w:sz w:val="22"/>
          <w:szCs w:val="22"/>
        </w:rPr>
        <w:t>les principes généraux de droit, notamment de droit administratif : droit de la défense, publicité des actes administratifs, motivation des actes administratifs, … ;</w:t>
      </w:r>
    </w:p>
    <w:p>
      <w:pPr>
        <w:rPr>
          <w:sz w:val="22"/>
          <w:szCs w:val="22"/>
        </w:rPr>
      </w:pPr>
    </w:p>
    <w:p>
      <w:pPr>
        <w:suppressAutoHyphens w:val="0"/>
        <w:autoSpaceDE w:val="0"/>
        <w:autoSpaceDN w:val="0"/>
        <w:adjustRightInd w:val="0"/>
        <w:spacing w:after="13" w:line="276" w:lineRule="auto"/>
        <w:ind w:left="284"/>
        <w:contextualSpacing/>
        <w:jc w:val="both"/>
        <w:rPr>
          <w:i/>
          <w:sz w:val="22"/>
          <w:szCs w:val="22"/>
          <w:lang w:eastAsia="fr-BE"/>
        </w:rPr>
      </w:pPr>
      <w:r>
        <w:rPr>
          <w:i/>
          <w:sz w:val="22"/>
          <w:szCs w:val="22"/>
          <w:lang w:eastAsia="fr-BE"/>
        </w:rPr>
        <w:t>A propos de l’organisation de l’enseignement,</w:t>
      </w:r>
    </w:p>
    <w:p>
      <w:pPr>
        <w:rPr>
          <w:sz w:val="22"/>
          <w:szCs w:val="22"/>
        </w:rPr>
      </w:pP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d’identifier la place de l'enseignement dans la structure de la Belgique en tant qu'Etat fédéral : les différents niveaux de pouvoir et les compétences respectives en matière d'enseignement et de formation ;</w:t>
      </w:r>
    </w:p>
    <w:p>
      <w:pPr>
        <w:pStyle w:val="Paragraphedeliste"/>
        <w:numPr>
          <w:ilvl w:val="0"/>
          <w:numId w:val="12"/>
        </w:numPr>
        <w:suppressAutoHyphens w:val="0"/>
        <w:autoSpaceDE w:val="0"/>
        <w:autoSpaceDN w:val="0"/>
        <w:adjustRightInd w:val="0"/>
        <w:spacing w:after="40" w:line="276" w:lineRule="auto"/>
        <w:ind w:left="709" w:hanging="357"/>
        <w:jc w:val="both"/>
        <w:rPr>
          <w:sz w:val="22"/>
          <w:szCs w:val="22"/>
          <w:lang w:eastAsia="fr-BE"/>
        </w:rPr>
      </w:pPr>
      <w:r>
        <w:rPr>
          <w:sz w:val="22"/>
          <w:szCs w:val="22"/>
          <w:lang w:eastAsia="fr-BE"/>
        </w:rPr>
        <w:t>de situer l'organisation de l'enseignement obligatoire en FWB : les structures, les autorités et les intervenants qui la composent, leurs rôles et missions (</w:t>
      </w:r>
      <w:r>
        <w:rPr>
          <w:sz w:val="22"/>
          <w:szCs w:val="22"/>
          <w:lang w:eastAsia="en-US"/>
        </w:rPr>
        <w:t>notamment la complémentarité entre les instances politiques et administratives)</w:t>
      </w:r>
      <w:r>
        <w:rPr>
          <w:sz w:val="22"/>
          <w:szCs w:val="22"/>
          <w:lang w:eastAsia="fr-BE"/>
        </w:rPr>
        <w:t> ;</w:t>
      </w:r>
    </w:p>
    <w:p>
      <w:pPr>
        <w:pStyle w:val="Paragraphedeliste"/>
        <w:numPr>
          <w:ilvl w:val="0"/>
          <w:numId w:val="20"/>
        </w:numPr>
        <w:suppressAutoHyphens w:val="0"/>
        <w:autoSpaceDE w:val="0"/>
        <w:autoSpaceDN w:val="0"/>
        <w:adjustRightInd w:val="0"/>
        <w:spacing w:after="40" w:line="276" w:lineRule="auto"/>
        <w:ind w:left="709"/>
        <w:jc w:val="both"/>
        <w:rPr>
          <w:sz w:val="22"/>
          <w:szCs w:val="22"/>
          <w:lang w:eastAsia="fr-BE"/>
        </w:rPr>
      </w:pPr>
      <w:r>
        <w:rPr>
          <w:sz w:val="22"/>
          <w:szCs w:val="22"/>
          <w:lang w:eastAsia="fr-BE"/>
        </w:rPr>
        <w:t>d’appréhender l’organigramme et les missions de l’administration générale de l’enseignement </w:t>
      </w:r>
      <w:r>
        <w:rPr>
          <w:sz w:val="22"/>
          <w:szCs w:val="22"/>
          <w:lang w:eastAsia="en-US"/>
        </w:rPr>
        <w:t xml:space="preserve">en lien avec les contacts que pourront avoir les directions selon leurs besoins  </w:t>
      </w:r>
      <w:r>
        <w:rPr>
          <w:sz w:val="22"/>
          <w:szCs w:val="22"/>
          <w:lang w:eastAsia="fr-BE"/>
        </w:rPr>
        <w:t>;</w:t>
      </w:r>
    </w:p>
    <w:p>
      <w:pPr>
        <w:numPr>
          <w:ilvl w:val="0"/>
          <w:numId w:val="20"/>
        </w:numPr>
        <w:suppressAutoHyphens w:val="0"/>
        <w:autoSpaceDE w:val="0"/>
        <w:autoSpaceDN w:val="0"/>
        <w:adjustRightInd w:val="0"/>
        <w:spacing w:after="40" w:line="276" w:lineRule="auto"/>
        <w:ind w:left="709"/>
        <w:jc w:val="both"/>
        <w:rPr>
          <w:sz w:val="22"/>
          <w:szCs w:val="22"/>
          <w:lang w:eastAsia="en-US"/>
        </w:rPr>
      </w:pPr>
      <w:r>
        <w:rPr>
          <w:sz w:val="22"/>
          <w:szCs w:val="22"/>
        </w:rPr>
        <w:t>de situer et de préciser les rôles des pouvoirs organisateurs, des fédérations de pouvoirs organisateurs et des organisations syndicales ;</w:t>
      </w:r>
    </w:p>
    <w:p>
      <w:pPr>
        <w:pStyle w:val="Paragraphedeliste"/>
        <w:numPr>
          <w:ilvl w:val="0"/>
          <w:numId w:val="12"/>
        </w:numPr>
        <w:suppressAutoHyphens w:val="0"/>
        <w:autoSpaceDE w:val="0"/>
        <w:autoSpaceDN w:val="0"/>
        <w:adjustRightInd w:val="0"/>
        <w:spacing w:after="40" w:line="276" w:lineRule="auto"/>
        <w:ind w:left="709" w:hanging="357"/>
        <w:jc w:val="both"/>
        <w:rPr>
          <w:sz w:val="22"/>
          <w:szCs w:val="22"/>
          <w:lang w:eastAsia="fr-BE"/>
        </w:rPr>
      </w:pPr>
      <w:r>
        <w:rPr>
          <w:sz w:val="22"/>
          <w:szCs w:val="22"/>
          <w:lang w:eastAsia="fr-BE"/>
        </w:rPr>
        <w:t xml:space="preserve">de s’initier à une démarche de recherche dans les bases légales et réglementaires en vue de résoudre des cas pratiques simples de la vie quotidienne des directions ; </w:t>
      </w:r>
    </w:p>
    <w:p>
      <w:pPr>
        <w:pStyle w:val="Paragraphedeliste"/>
        <w:numPr>
          <w:ilvl w:val="0"/>
          <w:numId w:val="12"/>
        </w:numPr>
        <w:suppressAutoHyphens w:val="0"/>
        <w:autoSpaceDE w:val="0"/>
        <w:autoSpaceDN w:val="0"/>
        <w:adjustRightInd w:val="0"/>
        <w:spacing w:after="40" w:line="276" w:lineRule="auto"/>
        <w:ind w:left="709" w:hanging="357"/>
        <w:jc w:val="both"/>
        <w:rPr>
          <w:sz w:val="22"/>
          <w:szCs w:val="22"/>
          <w:lang w:eastAsia="fr-BE"/>
        </w:rPr>
      </w:pPr>
      <w:r>
        <w:rPr>
          <w:sz w:val="22"/>
          <w:szCs w:val="22"/>
          <w:lang w:eastAsia="fr-BE"/>
        </w:rPr>
        <w:lastRenderedPageBreak/>
        <w:t>d’expliciter le sens et la portée de la législation et de la règlementation qui sous-tendent le traitement d’une problématique de la vie courante d’un établissement ;</w:t>
      </w:r>
    </w:p>
    <w:p>
      <w:pPr>
        <w:pStyle w:val="Paragraphedeliste"/>
        <w:numPr>
          <w:ilvl w:val="0"/>
          <w:numId w:val="12"/>
        </w:numPr>
        <w:suppressAutoHyphens w:val="0"/>
        <w:autoSpaceDE w:val="0"/>
        <w:autoSpaceDN w:val="0"/>
        <w:adjustRightInd w:val="0"/>
        <w:spacing w:after="40" w:line="276" w:lineRule="auto"/>
        <w:ind w:left="709"/>
        <w:jc w:val="both"/>
        <w:rPr>
          <w:sz w:val="22"/>
          <w:szCs w:val="22"/>
          <w:lang w:eastAsia="fr-BE"/>
        </w:rPr>
      </w:pPr>
      <w:r>
        <w:rPr>
          <w:sz w:val="22"/>
          <w:szCs w:val="22"/>
          <w:lang w:eastAsia="fr-BE"/>
        </w:rPr>
        <w:t>de s’informer sur les principales applications-métiers inter-réseaux numériques disponibles en lien avec la gestion administrative d’un établissement (</w:t>
      </w:r>
      <w:r>
        <w:rPr>
          <w:rFonts w:eastAsia="Calibri"/>
          <w:sz w:val="22"/>
          <w:szCs w:val="22"/>
          <w:lang w:eastAsia="en-US"/>
        </w:rPr>
        <w:t xml:space="preserve">par exemple, </w:t>
      </w:r>
      <w:r>
        <w:rPr>
          <w:sz w:val="22"/>
          <w:szCs w:val="22"/>
          <w:shd w:val="clear" w:color="auto" w:fill="FFFFFF"/>
        </w:rPr>
        <w:t>SIEL, PRIMVER,</w:t>
      </w:r>
      <w:r>
        <w:rPr>
          <w:rFonts w:eastAsia="Calibri"/>
          <w:sz w:val="22"/>
          <w:szCs w:val="22"/>
          <w:lang w:eastAsia="en-US"/>
        </w:rPr>
        <w:t xml:space="preserve"> PILOTAGE, … </w:t>
      </w:r>
      <w:r>
        <w:rPr>
          <w:sz w:val="22"/>
          <w:szCs w:val="22"/>
          <w:lang w:eastAsia="fr-BE"/>
        </w:rPr>
        <w:t>) ;</w:t>
      </w:r>
    </w:p>
    <w:p>
      <w:pPr>
        <w:rPr>
          <w:sz w:val="22"/>
          <w:szCs w:val="22"/>
        </w:rPr>
      </w:pPr>
    </w:p>
    <w:p>
      <w:pPr>
        <w:suppressAutoHyphens w:val="0"/>
        <w:autoSpaceDE w:val="0"/>
        <w:autoSpaceDN w:val="0"/>
        <w:adjustRightInd w:val="0"/>
        <w:spacing w:after="13" w:line="276" w:lineRule="auto"/>
        <w:ind w:left="284"/>
        <w:contextualSpacing/>
        <w:jc w:val="both"/>
        <w:rPr>
          <w:i/>
          <w:sz w:val="22"/>
          <w:szCs w:val="22"/>
          <w:lang w:eastAsia="fr-BE"/>
        </w:rPr>
      </w:pPr>
      <w:r>
        <w:rPr>
          <w:i/>
          <w:sz w:val="22"/>
          <w:szCs w:val="22"/>
          <w:lang w:eastAsia="fr-BE"/>
        </w:rPr>
        <w:t xml:space="preserve">A propos des bases légales, </w:t>
      </w:r>
    </w:p>
    <w:p>
      <w:pPr>
        <w:rPr>
          <w:sz w:val="22"/>
          <w:szCs w:val="22"/>
        </w:rPr>
      </w:pPr>
    </w:p>
    <w:p>
      <w:pPr>
        <w:pStyle w:val="Paragraphedeliste"/>
        <w:numPr>
          <w:ilvl w:val="0"/>
          <w:numId w:val="12"/>
        </w:numPr>
        <w:suppressAutoHyphens w:val="0"/>
        <w:autoSpaceDE w:val="0"/>
        <w:autoSpaceDN w:val="0"/>
        <w:adjustRightInd w:val="0"/>
        <w:spacing w:after="40" w:line="276" w:lineRule="auto"/>
        <w:ind w:left="714" w:hanging="357"/>
        <w:jc w:val="both"/>
        <w:rPr>
          <w:sz w:val="22"/>
          <w:szCs w:val="22"/>
          <w:lang w:eastAsia="fr-BE"/>
        </w:rPr>
      </w:pPr>
      <w:r>
        <w:rPr>
          <w:sz w:val="22"/>
          <w:szCs w:val="22"/>
          <w:lang w:eastAsia="fr-BE"/>
        </w:rPr>
        <w:t>d’utiliser, de manipuler et d’interpréter les principaux textes de lois et réglementaires à utiliser au quotidien par les directions en vue de développer une connaissance fonctionnelle de ces textes.</w:t>
      </w:r>
    </w:p>
    <w:p>
      <w:pPr>
        <w:rPr>
          <w:sz w:val="22"/>
          <w:szCs w:val="22"/>
        </w:rPr>
      </w:pPr>
    </w:p>
    <w:p>
      <w:pPr>
        <w:rPr>
          <w:sz w:val="22"/>
          <w:szCs w:val="22"/>
        </w:rPr>
      </w:pPr>
    </w:p>
    <w:p>
      <w:pPr>
        <w:rPr>
          <w:sz w:val="22"/>
          <w:szCs w:val="22"/>
        </w:rPr>
      </w:pPr>
    </w:p>
    <w:p>
      <w:pPr>
        <w:numPr>
          <w:ilvl w:val="0"/>
          <w:numId w:val="2"/>
        </w:numPr>
        <w:tabs>
          <w:tab w:val="num" w:pos="1134"/>
        </w:tabs>
        <w:jc w:val="both"/>
        <w:rPr>
          <w:b/>
          <w:sz w:val="22"/>
          <w:szCs w:val="22"/>
        </w:rPr>
      </w:pPr>
      <w:r>
        <w:rPr>
          <w:b/>
          <w:sz w:val="22"/>
          <w:szCs w:val="22"/>
        </w:rPr>
        <w:t>CHARGE(S) DE COURS</w:t>
      </w:r>
    </w:p>
    <w:p>
      <w:pPr>
        <w:rPr>
          <w:sz w:val="22"/>
          <w:szCs w:val="22"/>
        </w:rPr>
      </w:pPr>
    </w:p>
    <w:p>
      <w:pPr>
        <w:ind w:left="284"/>
        <w:jc w:val="both"/>
        <w:rPr>
          <w:sz w:val="22"/>
          <w:szCs w:val="22"/>
        </w:rPr>
      </w:pPr>
      <w:r>
        <w:rPr>
          <w:sz w:val="22"/>
          <w:szCs w:val="22"/>
        </w:rPr>
        <w:t>Le chargé de cours sera un enseignant ou un expert.</w:t>
      </w:r>
    </w:p>
    <w:p>
      <w:pPr>
        <w:rPr>
          <w:sz w:val="22"/>
          <w:szCs w:val="22"/>
        </w:rPr>
      </w:pPr>
    </w:p>
    <w:p>
      <w:pPr>
        <w:rPr>
          <w:sz w:val="22"/>
          <w:szCs w:val="22"/>
        </w:rPr>
      </w:pPr>
    </w:p>
    <w:p>
      <w:pPr>
        <w:ind w:left="284"/>
        <w:jc w:val="both"/>
        <w:rPr>
          <w:sz w:val="22"/>
        </w:rPr>
      </w:pPr>
      <w:r>
        <w:rPr>
          <w:sz w:val="22"/>
        </w:rPr>
        <w:t>L’expert devra justifier de compétences particulières issues d’une expérience professionnelle actualisée en relation avec le programme du présent dossier pédagogique.</w:t>
      </w:r>
    </w:p>
    <w:p>
      <w:pPr>
        <w:rPr>
          <w:sz w:val="22"/>
          <w:szCs w:val="22"/>
        </w:rPr>
      </w:pPr>
    </w:p>
    <w:p>
      <w:pPr>
        <w:rPr>
          <w:sz w:val="22"/>
          <w:szCs w:val="22"/>
        </w:rPr>
      </w:pPr>
    </w:p>
    <w:p>
      <w:pPr>
        <w:rPr>
          <w:sz w:val="22"/>
          <w:szCs w:val="22"/>
        </w:rPr>
      </w:pPr>
    </w:p>
    <w:p>
      <w:pPr>
        <w:numPr>
          <w:ilvl w:val="0"/>
          <w:numId w:val="2"/>
        </w:numPr>
        <w:jc w:val="both"/>
        <w:rPr>
          <w:b/>
          <w:sz w:val="22"/>
          <w:szCs w:val="22"/>
        </w:rPr>
      </w:pPr>
      <w:r>
        <w:rPr>
          <w:b/>
          <w:sz w:val="22"/>
          <w:szCs w:val="22"/>
        </w:rPr>
        <w:t>CONSTITUTION DES GROUPES OU REGROUPEMENT</w:t>
      </w:r>
    </w:p>
    <w:p>
      <w:pPr>
        <w:rPr>
          <w:sz w:val="22"/>
          <w:szCs w:val="22"/>
        </w:rPr>
      </w:pPr>
    </w:p>
    <w:p>
      <w:pPr>
        <w:ind w:left="284"/>
        <w:jc w:val="both"/>
        <w:rPr>
          <w:sz w:val="22"/>
          <w:szCs w:val="22"/>
        </w:rPr>
      </w:pPr>
      <w:r>
        <w:rPr>
          <w:sz w:val="22"/>
          <w:szCs w:val="22"/>
        </w:rPr>
        <w:t>Aucune recommandation particulière.</w:t>
      </w:r>
    </w:p>
    <w:p>
      <w:pPr>
        <w:rPr>
          <w:sz w:val="22"/>
          <w:szCs w:val="22"/>
        </w:rPr>
      </w:pPr>
    </w:p>
    <w:p>
      <w:pPr>
        <w:rPr>
          <w:sz w:val="22"/>
          <w:szCs w:val="22"/>
        </w:rPr>
      </w:pPr>
    </w:p>
    <w:p>
      <w:pPr>
        <w:rPr>
          <w:sz w:val="22"/>
          <w:szCs w:val="22"/>
        </w:rPr>
      </w:pPr>
    </w:p>
    <w:p>
      <w:pPr>
        <w:numPr>
          <w:ilvl w:val="0"/>
          <w:numId w:val="2"/>
        </w:numPr>
        <w:rPr>
          <w:b/>
          <w:sz w:val="22"/>
          <w:szCs w:val="22"/>
        </w:rPr>
      </w:pPr>
      <w:r>
        <w:rPr>
          <w:b/>
          <w:sz w:val="22"/>
          <w:szCs w:val="22"/>
        </w:rPr>
        <w:t>HORAIRE MINIMUM DE L’UNITE D'ENSEIGNEMENT</w:t>
      </w:r>
    </w:p>
    <w:p>
      <w:pPr>
        <w:ind w:left="708" w:hanging="708"/>
        <w:rPr>
          <w:sz w:val="22"/>
          <w:szCs w:val="22"/>
        </w:rPr>
      </w:pPr>
    </w:p>
    <w:tbl>
      <w:tblPr>
        <w:tblW w:w="89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437"/>
        <w:gridCol w:w="1417"/>
        <w:gridCol w:w="1856"/>
        <w:gridCol w:w="2255"/>
      </w:tblGrid>
      <w:tr>
        <w:tc>
          <w:tcPr>
            <w:tcW w:w="3437" w:type="dxa"/>
          </w:tcPr>
          <w:p>
            <w:pPr>
              <w:numPr>
                <w:ilvl w:val="1"/>
                <w:numId w:val="2"/>
              </w:numPr>
              <w:ind w:left="416"/>
              <w:rPr>
                <w:b/>
                <w:sz w:val="22"/>
                <w:szCs w:val="22"/>
              </w:rPr>
            </w:pPr>
            <w:r>
              <w:rPr>
                <w:b/>
                <w:sz w:val="22"/>
                <w:szCs w:val="22"/>
              </w:rPr>
              <w:t>Dénomination des cours</w:t>
            </w:r>
          </w:p>
        </w:tc>
        <w:tc>
          <w:tcPr>
            <w:tcW w:w="1417" w:type="dxa"/>
          </w:tcPr>
          <w:p>
            <w:pPr>
              <w:snapToGrid w:val="0"/>
              <w:jc w:val="center"/>
              <w:rPr>
                <w:b/>
                <w:sz w:val="22"/>
                <w:szCs w:val="22"/>
                <w:u w:val="single"/>
              </w:rPr>
            </w:pPr>
            <w:r>
              <w:rPr>
                <w:b/>
                <w:sz w:val="22"/>
                <w:szCs w:val="22"/>
                <w:u w:val="single"/>
              </w:rPr>
              <w:t>Classement des cours</w:t>
            </w:r>
          </w:p>
        </w:tc>
        <w:tc>
          <w:tcPr>
            <w:tcW w:w="1856" w:type="dxa"/>
          </w:tcPr>
          <w:p>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2255" w:type="dxa"/>
          </w:tcPr>
          <w:p>
            <w:pPr>
              <w:snapToGrid w:val="0"/>
              <w:jc w:val="center"/>
              <w:rPr>
                <w:b/>
                <w:sz w:val="22"/>
                <w:szCs w:val="22"/>
                <w:u w:val="single"/>
              </w:rPr>
            </w:pPr>
            <w:r>
              <w:rPr>
                <w:b/>
                <w:sz w:val="22"/>
                <w:szCs w:val="22"/>
                <w:u w:val="single"/>
              </w:rPr>
              <w:t>Nombre de périodes</w:t>
            </w:r>
          </w:p>
        </w:tc>
      </w:tr>
      <w:tr>
        <w:tc>
          <w:tcPr>
            <w:tcW w:w="3437" w:type="dxa"/>
          </w:tcPr>
          <w:p>
            <w:pPr>
              <w:snapToGrid w:val="0"/>
              <w:spacing w:before="120" w:after="120"/>
              <w:rPr>
                <w:sz w:val="22"/>
                <w:szCs w:val="22"/>
              </w:rPr>
            </w:pPr>
            <w:bookmarkStart w:id="2" w:name="VOL"/>
            <w:bookmarkEnd w:id="2"/>
            <w:r>
              <w:rPr>
                <w:sz w:val="22"/>
                <w:szCs w:val="22"/>
              </w:rPr>
              <w:t>Cadre légal et réglementaire – gestion administrative de l’enseignement</w:t>
            </w:r>
          </w:p>
        </w:tc>
        <w:tc>
          <w:tcPr>
            <w:tcW w:w="1417" w:type="dxa"/>
          </w:tcPr>
          <w:p>
            <w:pPr>
              <w:spacing w:before="120" w:after="120"/>
              <w:ind w:firstLine="22"/>
              <w:jc w:val="center"/>
              <w:rPr>
                <w:sz w:val="22"/>
                <w:szCs w:val="22"/>
              </w:rPr>
            </w:pPr>
            <w:r>
              <w:rPr>
                <w:sz w:val="22"/>
                <w:szCs w:val="22"/>
              </w:rPr>
              <w:t>CT</w:t>
            </w:r>
          </w:p>
        </w:tc>
        <w:tc>
          <w:tcPr>
            <w:tcW w:w="1856" w:type="dxa"/>
          </w:tcPr>
          <w:p>
            <w:pPr>
              <w:spacing w:before="120" w:after="120"/>
              <w:ind w:firstLine="22"/>
              <w:jc w:val="center"/>
              <w:rPr>
                <w:sz w:val="22"/>
                <w:szCs w:val="22"/>
              </w:rPr>
            </w:pPr>
            <w:r>
              <w:rPr>
                <w:sz w:val="22"/>
                <w:szCs w:val="22"/>
              </w:rPr>
              <w:t>B</w:t>
            </w:r>
          </w:p>
        </w:tc>
        <w:tc>
          <w:tcPr>
            <w:tcW w:w="2255" w:type="dxa"/>
          </w:tcPr>
          <w:p>
            <w:pPr>
              <w:spacing w:before="120" w:after="120"/>
              <w:ind w:firstLine="22"/>
              <w:jc w:val="center"/>
              <w:rPr>
                <w:sz w:val="22"/>
                <w:szCs w:val="22"/>
              </w:rPr>
            </w:pPr>
            <w:r>
              <w:rPr>
                <w:sz w:val="22"/>
                <w:szCs w:val="22"/>
              </w:rPr>
              <w:t>12</w:t>
            </w:r>
          </w:p>
        </w:tc>
      </w:tr>
      <w:tr>
        <w:tc>
          <w:tcPr>
            <w:tcW w:w="3437" w:type="dxa"/>
          </w:tcPr>
          <w:p>
            <w:pPr>
              <w:numPr>
                <w:ilvl w:val="1"/>
                <w:numId w:val="2"/>
              </w:numPr>
              <w:spacing w:before="120" w:after="120"/>
              <w:ind w:left="416" w:hanging="431"/>
              <w:rPr>
                <w:b/>
                <w:sz w:val="22"/>
                <w:szCs w:val="22"/>
              </w:rPr>
            </w:pPr>
            <w:r>
              <w:rPr>
                <w:b/>
                <w:sz w:val="22"/>
                <w:szCs w:val="22"/>
              </w:rPr>
              <w:t>Part d’autonomie</w:t>
            </w:r>
          </w:p>
        </w:tc>
        <w:tc>
          <w:tcPr>
            <w:tcW w:w="1417" w:type="dxa"/>
          </w:tcPr>
          <w:p>
            <w:pPr>
              <w:spacing w:before="120" w:after="120"/>
              <w:ind w:firstLine="22"/>
              <w:jc w:val="center"/>
              <w:rPr>
                <w:sz w:val="22"/>
                <w:szCs w:val="22"/>
              </w:rPr>
            </w:pPr>
          </w:p>
        </w:tc>
        <w:tc>
          <w:tcPr>
            <w:tcW w:w="1856" w:type="dxa"/>
          </w:tcPr>
          <w:p>
            <w:pPr>
              <w:spacing w:before="120" w:after="120"/>
              <w:ind w:firstLine="22"/>
              <w:jc w:val="center"/>
              <w:rPr>
                <w:sz w:val="22"/>
                <w:szCs w:val="22"/>
              </w:rPr>
            </w:pPr>
            <w:r>
              <w:rPr>
                <w:sz w:val="22"/>
                <w:szCs w:val="22"/>
              </w:rPr>
              <w:t>P</w:t>
            </w:r>
            <w:bookmarkStart w:id="3" w:name="_GoBack"/>
            <w:bookmarkEnd w:id="3"/>
          </w:p>
        </w:tc>
        <w:tc>
          <w:tcPr>
            <w:tcW w:w="2255" w:type="dxa"/>
          </w:tcPr>
          <w:p>
            <w:pPr>
              <w:spacing w:before="120" w:after="120"/>
              <w:ind w:firstLine="22"/>
              <w:jc w:val="center"/>
              <w:rPr>
                <w:sz w:val="22"/>
                <w:szCs w:val="22"/>
              </w:rPr>
            </w:pPr>
            <w:r>
              <w:rPr>
                <w:sz w:val="22"/>
                <w:szCs w:val="22"/>
              </w:rPr>
              <w:t>3</w:t>
            </w:r>
          </w:p>
        </w:tc>
      </w:tr>
      <w:tr>
        <w:tc>
          <w:tcPr>
            <w:tcW w:w="3437" w:type="dxa"/>
          </w:tcPr>
          <w:p>
            <w:pPr>
              <w:snapToGrid w:val="0"/>
              <w:spacing w:before="120"/>
              <w:ind w:left="425"/>
              <w:rPr>
                <w:b/>
                <w:sz w:val="22"/>
                <w:szCs w:val="22"/>
              </w:rPr>
            </w:pPr>
            <w:r>
              <w:rPr>
                <w:b/>
                <w:sz w:val="22"/>
                <w:szCs w:val="22"/>
              </w:rPr>
              <w:t>Total des périodes</w:t>
            </w:r>
          </w:p>
        </w:tc>
        <w:tc>
          <w:tcPr>
            <w:tcW w:w="1417" w:type="dxa"/>
          </w:tcPr>
          <w:p>
            <w:pPr>
              <w:spacing w:before="120" w:after="120"/>
              <w:ind w:firstLine="22"/>
              <w:jc w:val="center"/>
              <w:rPr>
                <w:sz w:val="22"/>
                <w:szCs w:val="22"/>
              </w:rPr>
            </w:pPr>
          </w:p>
        </w:tc>
        <w:tc>
          <w:tcPr>
            <w:tcW w:w="1856" w:type="dxa"/>
          </w:tcPr>
          <w:p>
            <w:pPr>
              <w:spacing w:before="120" w:after="120"/>
              <w:ind w:firstLine="22"/>
              <w:jc w:val="center"/>
              <w:rPr>
                <w:sz w:val="22"/>
                <w:szCs w:val="22"/>
              </w:rPr>
            </w:pPr>
          </w:p>
        </w:tc>
        <w:tc>
          <w:tcPr>
            <w:tcW w:w="2255" w:type="dxa"/>
          </w:tcPr>
          <w:p>
            <w:pPr>
              <w:spacing w:before="120" w:after="120"/>
              <w:ind w:firstLine="22"/>
              <w:jc w:val="center"/>
              <w:rPr>
                <w:b/>
                <w:bCs/>
                <w:sz w:val="22"/>
                <w:szCs w:val="22"/>
              </w:rPr>
            </w:pPr>
            <w:r>
              <w:rPr>
                <w:b/>
                <w:bCs/>
                <w:sz w:val="22"/>
                <w:szCs w:val="22"/>
              </w:rPr>
              <w:t>15</w:t>
            </w:r>
          </w:p>
        </w:tc>
      </w:tr>
    </w:tbl>
    <w:p>
      <w:pPr>
        <w:rPr>
          <w:sz w:val="22"/>
          <w:szCs w:val="22"/>
        </w:rPr>
      </w:pPr>
    </w:p>
    <w:p>
      <w:pPr>
        <w:rPr>
          <w:sz w:val="22"/>
          <w:szCs w:val="22"/>
        </w:rPr>
      </w:pPr>
    </w:p>
    <w:sectPr>
      <w:headerReference w:type="default" r:id="rId8"/>
      <w:footerReference w:type="default" r:id="rId9"/>
      <w:footnotePr>
        <w:pos w:val="beneathText"/>
      </w:footnotePr>
      <w:type w:val="continuous"/>
      <w:pgSz w:w="11905" w:h="16837"/>
      <w:pgMar w:top="1134" w:right="1417" w:bottom="1291" w:left="1417" w:header="141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Cambria"/>
    <w:panose1 w:val="04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right" w:leader="dot" w:pos="9639"/>
      </w:tabs>
      <w:spacing w:before="240"/>
      <w:contextualSpacing/>
      <w:rPr>
        <w:spacing w:val="-2"/>
      </w:rPr>
    </w:pPr>
    <w:r>
      <w:rPr>
        <w:spacing w:val="-2"/>
      </w:rPr>
      <w:t xml:space="preserve">Formation initiale obligatoire des directeurs et directrices de l’enseignement : Axe administratif – </w:t>
    </w:r>
  </w:p>
  <w:p>
    <w:pPr>
      <w:tabs>
        <w:tab w:val="left" w:pos="7938"/>
        <w:tab w:val="right" w:leader="dot" w:pos="9639"/>
      </w:tabs>
      <w:spacing w:before="240"/>
      <w:contextualSpacing/>
      <w:rPr>
        <w:sz w:val="16"/>
      </w:rPr>
    </w:pPr>
    <w:r>
      <w:rPr>
        <w:spacing w:val="-2"/>
      </w:rPr>
      <w:t xml:space="preserve">Volet inter-réseaux - Enseignement fondamental </w:t>
    </w:r>
    <w:r>
      <w:rPr>
        <w:spacing w:val="-2"/>
      </w:rPr>
      <w:tab/>
    </w:r>
    <w:r>
      <w:rPr>
        <w:sz w:val="16"/>
      </w:rPr>
      <w:t xml:space="preserve">Page  </w:t>
    </w:r>
    <w:r>
      <w:rPr>
        <w:sz w:val="16"/>
      </w:rPr>
      <w:fldChar w:fldCharType="begin"/>
    </w:r>
    <w:r>
      <w:rPr>
        <w:sz w:val="16"/>
      </w:rPr>
      <w:instrText xml:space="preserve"> PAGE </w:instrText>
    </w:r>
    <w:r>
      <w:rPr>
        <w:sz w:val="16"/>
      </w:rPr>
      <w:fldChar w:fldCharType="separate"/>
    </w:r>
    <w:r>
      <w:rPr>
        <w:noProof/>
        <w:sz w:val="16"/>
      </w:rPr>
      <w:t>4</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noProof/>
        <w:sz w:val="16"/>
      </w:rPr>
      <w:t>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EAA793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3" w15:restartNumberingAfterBreak="0">
    <w:nsid w:val="03592416"/>
    <w:multiLevelType w:val="hybridMultilevel"/>
    <w:tmpl w:val="E9261642"/>
    <w:lvl w:ilvl="0" w:tplc="502CFB0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556730F"/>
    <w:multiLevelType w:val="hybridMultilevel"/>
    <w:tmpl w:val="A5EA7572"/>
    <w:lvl w:ilvl="0" w:tplc="080C0003">
      <w:start w:val="1"/>
      <w:numFmt w:val="bullet"/>
      <w:lvlText w:val="o"/>
      <w:lvlJc w:val="left"/>
      <w:pPr>
        <w:ind w:left="1211" w:hanging="360"/>
      </w:pPr>
      <w:rPr>
        <w:rFonts w:ascii="Courier New" w:hAnsi="Courier New" w:cs="Courier New" w:hint="default"/>
        <w:sz w:val="22"/>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5" w15:restartNumberingAfterBreak="0">
    <w:nsid w:val="0FAF4D51"/>
    <w:multiLevelType w:val="hybridMultilevel"/>
    <w:tmpl w:val="E3CE0F0C"/>
    <w:lvl w:ilvl="0" w:tplc="1556F1A2">
      <w:start w:val="1"/>
      <w:numFmt w:val="bullet"/>
      <w:lvlText w:val=""/>
      <w:lvlJc w:val="left"/>
      <w:pPr>
        <w:tabs>
          <w:tab w:val="num" w:pos="1836"/>
        </w:tabs>
        <w:ind w:left="1836" w:hanging="397"/>
      </w:pPr>
      <w:rPr>
        <w:rFonts w:ascii="Wingdings" w:hAnsi="Wingdings" w:hint="default"/>
        <w:sz w:val="16"/>
      </w:rPr>
    </w:lvl>
    <w:lvl w:ilvl="1" w:tplc="040C0003" w:tentative="1">
      <w:start w:val="1"/>
      <w:numFmt w:val="bullet"/>
      <w:lvlText w:val="o"/>
      <w:lvlJc w:val="left"/>
      <w:pPr>
        <w:tabs>
          <w:tab w:val="num" w:pos="2539"/>
        </w:tabs>
        <w:ind w:left="2539" w:hanging="360"/>
      </w:pPr>
      <w:rPr>
        <w:rFonts w:ascii="Courier New" w:hAnsi="Courier New" w:hint="default"/>
      </w:rPr>
    </w:lvl>
    <w:lvl w:ilvl="2" w:tplc="040C0005" w:tentative="1">
      <w:start w:val="1"/>
      <w:numFmt w:val="bullet"/>
      <w:lvlText w:val=""/>
      <w:lvlJc w:val="left"/>
      <w:pPr>
        <w:tabs>
          <w:tab w:val="num" w:pos="3259"/>
        </w:tabs>
        <w:ind w:left="3259" w:hanging="360"/>
      </w:pPr>
      <w:rPr>
        <w:rFonts w:ascii="Wingdings" w:hAnsi="Wingdings" w:hint="default"/>
      </w:rPr>
    </w:lvl>
    <w:lvl w:ilvl="3" w:tplc="040C0001" w:tentative="1">
      <w:start w:val="1"/>
      <w:numFmt w:val="bullet"/>
      <w:lvlText w:val=""/>
      <w:lvlJc w:val="left"/>
      <w:pPr>
        <w:tabs>
          <w:tab w:val="num" w:pos="3979"/>
        </w:tabs>
        <w:ind w:left="3979" w:hanging="360"/>
      </w:pPr>
      <w:rPr>
        <w:rFonts w:ascii="Symbol" w:hAnsi="Symbol" w:hint="default"/>
      </w:rPr>
    </w:lvl>
    <w:lvl w:ilvl="4" w:tplc="040C0003" w:tentative="1">
      <w:start w:val="1"/>
      <w:numFmt w:val="bullet"/>
      <w:lvlText w:val="o"/>
      <w:lvlJc w:val="left"/>
      <w:pPr>
        <w:tabs>
          <w:tab w:val="num" w:pos="4699"/>
        </w:tabs>
        <w:ind w:left="4699" w:hanging="360"/>
      </w:pPr>
      <w:rPr>
        <w:rFonts w:ascii="Courier New" w:hAnsi="Courier New" w:hint="default"/>
      </w:rPr>
    </w:lvl>
    <w:lvl w:ilvl="5" w:tplc="040C0005" w:tentative="1">
      <w:start w:val="1"/>
      <w:numFmt w:val="bullet"/>
      <w:lvlText w:val=""/>
      <w:lvlJc w:val="left"/>
      <w:pPr>
        <w:tabs>
          <w:tab w:val="num" w:pos="5419"/>
        </w:tabs>
        <w:ind w:left="5419" w:hanging="360"/>
      </w:pPr>
      <w:rPr>
        <w:rFonts w:ascii="Wingdings" w:hAnsi="Wingdings" w:hint="default"/>
      </w:rPr>
    </w:lvl>
    <w:lvl w:ilvl="6" w:tplc="040C0001" w:tentative="1">
      <w:start w:val="1"/>
      <w:numFmt w:val="bullet"/>
      <w:lvlText w:val=""/>
      <w:lvlJc w:val="left"/>
      <w:pPr>
        <w:tabs>
          <w:tab w:val="num" w:pos="6139"/>
        </w:tabs>
        <w:ind w:left="6139" w:hanging="360"/>
      </w:pPr>
      <w:rPr>
        <w:rFonts w:ascii="Symbol" w:hAnsi="Symbol" w:hint="default"/>
      </w:rPr>
    </w:lvl>
    <w:lvl w:ilvl="7" w:tplc="040C0003" w:tentative="1">
      <w:start w:val="1"/>
      <w:numFmt w:val="bullet"/>
      <w:lvlText w:val="o"/>
      <w:lvlJc w:val="left"/>
      <w:pPr>
        <w:tabs>
          <w:tab w:val="num" w:pos="6859"/>
        </w:tabs>
        <w:ind w:left="6859" w:hanging="360"/>
      </w:pPr>
      <w:rPr>
        <w:rFonts w:ascii="Courier New" w:hAnsi="Courier New" w:hint="default"/>
      </w:rPr>
    </w:lvl>
    <w:lvl w:ilvl="8" w:tplc="040C0005" w:tentative="1">
      <w:start w:val="1"/>
      <w:numFmt w:val="bullet"/>
      <w:lvlText w:val=""/>
      <w:lvlJc w:val="left"/>
      <w:pPr>
        <w:tabs>
          <w:tab w:val="num" w:pos="7579"/>
        </w:tabs>
        <w:ind w:left="7579" w:hanging="360"/>
      </w:pPr>
      <w:rPr>
        <w:rFonts w:ascii="Wingdings" w:hAnsi="Wingdings" w:hint="default"/>
      </w:rPr>
    </w:lvl>
  </w:abstractNum>
  <w:abstractNum w:abstractNumId="6" w15:restartNumberingAfterBreak="0">
    <w:nsid w:val="12B5579F"/>
    <w:multiLevelType w:val="hybridMultilevel"/>
    <w:tmpl w:val="3E3626C6"/>
    <w:lvl w:ilvl="0" w:tplc="E4261BF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7F73C0"/>
    <w:multiLevelType w:val="hybridMultilevel"/>
    <w:tmpl w:val="D212A768"/>
    <w:lvl w:ilvl="0" w:tplc="080C0003">
      <w:start w:val="1"/>
      <w:numFmt w:val="bullet"/>
      <w:lvlText w:val="o"/>
      <w:lvlJc w:val="left"/>
      <w:pPr>
        <w:ind w:left="926" w:hanging="360"/>
      </w:pPr>
      <w:rPr>
        <w:rFonts w:ascii="Courier New" w:hAnsi="Courier New" w:cs="Courier New" w:hint="default"/>
      </w:rPr>
    </w:lvl>
    <w:lvl w:ilvl="1" w:tplc="080C0003" w:tentative="1">
      <w:start w:val="1"/>
      <w:numFmt w:val="bullet"/>
      <w:lvlText w:val="o"/>
      <w:lvlJc w:val="left"/>
      <w:pPr>
        <w:ind w:left="1646" w:hanging="360"/>
      </w:pPr>
      <w:rPr>
        <w:rFonts w:ascii="Courier New" w:hAnsi="Courier New" w:cs="Courier New" w:hint="default"/>
      </w:rPr>
    </w:lvl>
    <w:lvl w:ilvl="2" w:tplc="080C0005" w:tentative="1">
      <w:start w:val="1"/>
      <w:numFmt w:val="bullet"/>
      <w:lvlText w:val=""/>
      <w:lvlJc w:val="left"/>
      <w:pPr>
        <w:ind w:left="2366" w:hanging="360"/>
      </w:pPr>
      <w:rPr>
        <w:rFonts w:ascii="Wingdings" w:hAnsi="Wingdings" w:hint="default"/>
      </w:rPr>
    </w:lvl>
    <w:lvl w:ilvl="3" w:tplc="080C0001" w:tentative="1">
      <w:start w:val="1"/>
      <w:numFmt w:val="bullet"/>
      <w:lvlText w:val=""/>
      <w:lvlJc w:val="left"/>
      <w:pPr>
        <w:ind w:left="3086" w:hanging="360"/>
      </w:pPr>
      <w:rPr>
        <w:rFonts w:ascii="Symbol" w:hAnsi="Symbol" w:hint="default"/>
      </w:rPr>
    </w:lvl>
    <w:lvl w:ilvl="4" w:tplc="080C0003" w:tentative="1">
      <w:start w:val="1"/>
      <w:numFmt w:val="bullet"/>
      <w:lvlText w:val="o"/>
      <w:lvlJc w:val="left"/>
      <w:pPr>
        <w:ind w:left="3806" w:hanging="360"/>
      </w:pPr>
      <w:rPr>
        <w:rFonts w:ascii="Courier New" w:hAnsi="Courier New" w:cs="Courier New" w:hint="default"/>
      </w:rPr>
    </w:lvl>
    <w:lvl w:ilvl="5" w:tplc="080C0005" w:tentative="1">
      <w:start w:val="1"/>
      <w:numFmt w:val="bullet"/>
      <w:lvlText w:val=""/>
      <w:lvlJc w:val="left"/>
      <w:pPr>
        <w:ind w:left="4526" w:hanging="360"/>
      </w:pPr>
      <w:rPr>
        <w:rFonts w:ascii="Wingdings" w:hAnsi="Wingdings" w:hint="default"/>
      </w:rPr>
    </w:lvl>
    <w:lvl w:ilvl="6" w:tplc="080C0001" w:tentative="1">
      <w:start w:val="1"/>
      <w:numFmt w:val="bullet"/>
      <w:lvlText w:val=""/>
      <w:lvlJc w:val="left"/>
      <w:pPr>
        <w:ind w:left="5246" w:hanging="360"/>
      </w:pPr>
      <w:rPr>
        <w:rFonts w:ascii="Symbol" w:hAnsi="Symbol" w:hint="default"/>
      </w:rPr>
    </w:lvl>
    <w:lvl w:ilvl="7" w:tplc="080C0003" w:tentative="1">
      <w:start w:val="1"/>
      <w:numFmt w:val="bullet"/>
      <w:lvlText w:val="o"/>
      <w:lvlJc w:val="left"/>
      <w:pPr>
        <w:ind w:left="5966" w:hanging="360"/>
      </w:pPr>
      <w:rPr>
        <w:rFonts w:ascii="Courier New" w:hAnsi="Courier New" w:cs="Courier New" w:hint="default"/>
      </w:rPr>
    </w:lvl>
    <w:lvl w:ilvl="8" w:tplc="080C0005" w:tentative="1">
      <w:start w:val="1"/>
      <w:numFmt w:val="bullet"/>
      <w:lvlText w:val=""/>
      <w:lvlJc w:val="left"/>
      <w:pPr>
        <w:ind w:left="6686" w:hanging="360"/>
      </w:pPr>
      <w:rPr>
        <w:rFonts w:ascii="Wingdings" w:hAnsi="Wingdings" w:hint="default"/>
      </w:rPr>
    </w:lvl>
  </w:abstractNum>
  <w:abstractNum w:abstractNumId="8"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4A1F4EA3"/>
    <w:multiLevelType w:val="hybridMultilevel"/>
    <w:tmpl w:val="FAE0ED3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3970E95"/>
    <w:multiLevelType w:val="hybridMultilevel"/>
    <w:tmpl w:val="2628599E"/>
    <w:lvl w:ilvl="0" w:tplc="87AE9CE8">
      <w:start w:val="1"/>
      <w:numFmt w:val="bullet"/>
      <w:lvlText w:val=""/>
      <w:lvlJc w:val="left"/>
      <w:pPr>
        <w:ind w:left="1211" w:hanging="360"/>
      </w:pPr>
      <w:rPr>
        <w:rFonts w:ascii="Symbol" w:hAnsi="Symbol" w:hint="default"/>
        <w:b w:val="0"/>
        <w:i w:val="0"/>
        <w:caps w:val="0"/>
        <w:strike w:val="0"/>
        <w:dstrike w:val="0"/>
        <w:vanish w:val="0"/>
        <w:color w:val="00000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61CC1327"/>
    <w:multiLevelType w:val="hybridMultilevel"/>
    <w:tmpl w:val="CB982594"/>
    <w:lvl w:ilvl="0" w:tplc="E4261BF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A21708"/>
    <w:multiLevelType w:val="hybridMultilevel"/>
    <w:tmpl w:val="15AA5D4E"/>
    <w:lvl w:ilvl="0" w:tplc="0D2CD350">
      <w:start w:val="1"/>
      <w:numFmt w:val="bullet"/>
      <w:lvlText w:val=""/>
      <w:lvlJc w:val="left"/>
      <w:pPr>
        <w:ind w:left="1211" w:hanging="360"/>
      </w:pPr>
      <w:rPr>
        <w:rFonts w:ascii="Symbol" w:hAnsi="Symbol" w:hint="default"/>
        <w:sz w:val="22"/>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14" w15:restartNumberingAfterBreak="0">
    <w:nsid w:val="7A79366B"/>
    <w:multiLevelType w:val="hybridMultilevel"/>
    <w:tmpl w:val="AE80DACA"/>
    <w:lvl w:ilvl="0" w:tplc="1556F1A2">
      <w:start w:val="1"/>
      <w:numFmt w:val="bullet"/>
      <w:lvlText w:val=""/>
      <w:lvlJc w:val="left"/>
      <w:pPr>
        <w:tabs>
          <w:tab w:val="num" w:pos="1813"/>
        </w:tabs>
        <w:ind w:left="1813" w:hanging="397"/>
      </w:pPr>
      <w:rPr>
        <w:rFonts w:ascii="Wingdings" w:hAnsi="Wingdings" w:hint="default"/>
        <w:sz w:val="16"/>
      </w:rPr>
    </w:lvl>
    <w:lvl w:ilvl="1" w:tplc="040C0003" w:tentative="1">
      <w:start w:val="1"/>
      <w:numFmt w:val="bullet"/>
      <w:lvlText w:val="o"/>
      <w:lvlJc w:val="left"/>
      <w:pPr>
        <w:tabs>
          <w:tab w:val="num" w:pos="2516"/>
        </w:tabs>
        <w:ind w:left="2516" w:hanging="360"/>
      </w:pPr>
      <w:rPr>
        <w:rFonts w:ascii="Courier New" w:hAnsi="Courier New" w:hint="default"/>
      </w:rPr>
    </w:lvl>
    <w:lvl w:ilvl="2" w:tplc="040C0005" w:tentative="1">
      <w:start w:val="1"/>
      <w:numFmt w:val="bullet"/>
      <w:lvlText w:val=""/>
      <w:lvlJc w:val="left"/>
      <w:pPr>
        <w:tabs>
          <w:tab w:val="num" w:pos="3236"/>
        </w:tabs>
        <w:ind w:left="3236" w:hanging="360"/>
      </w:pPr>
      <w:rPr>
        <w:rFonts w:ascii="Wingdings" w:hAnsi="Wingdings" w:hint="default"/>
      </w:rPr>
    </w:lvl>
    <w:lvl w:ilvl="3" w:tplc="040C0001" w:tentative="1">
      <w:start w:val="1"/>
      <w:numFmt w:val="bullet"/>
      <w:lvlText w:val=""/>
      <w:lvlJc w:val="left"/>
      <w:pPr>
        <w:tabs>
          <w:tab w:val="num" w:pos="3956"/>
        </w:tabs>
        <w:ind w:left="3956" w:hanging="360"/>
      </w:pPr>
      <w:rPr>
        <w:rFonts w:ascii="Symbol" w:hAnsi="Symbol" w:hint="default"/>
      </w:rPr>
    </w:lvl>
    <w:lvl w:ilvl="4" w:tplc="040C0003" w:tentative="1">
      <w:start w:val="1"/>
      <w:numFmt w:val="bullet"/>
      <w:lvlText w:val="o"/>
      <w:lvlJc w:val="left"/>
      <w:pPr>
        <w:tabs>
          <w:tab w:val="num" w:pos="4676"/>
        </w:tabs>
        <w:ind w:left="4676" w:hanging="360"/>
      </w:pPr>
      <w:rPr>
        <w:rFonts w:ascii="Courier New" w:hAnsi="Courier New" w:hint="default"/>
      </w:rPr>
    </w:lvl>
    <w:lvl w:ilvl="5" w:tplc="040C0005" w:tentative="1">
      <w:start w:val="1"/>
      <w:numFmt w:val="bullet"/>
      <w:lvlText w:val=""/>
      <w:lvlJc w:val="left"/>
      <w:pPr>
        <w:tabs>
          <w:tab w:val="num" w:pos="5396"/>
        </w:tabs>
        <w:ind w:left="5396" w:hanging="360"/>
      </w:pPr>
      <w:rPr>
        <w:rFonts w:ascii="Wingdings" w:hAnsi="Wingdings" w:hint="default"/>
      </w:rPr>
    </w:lvl>
    <w:lvl w:ilvl="6" w:tplc="040C0001" w:tentative="1">
      <w:start w:val="1"/>
      <w:numFmt w:val="bullet"/>
      <w:lvlText w:val=""/>
      <w:lvlJc w:val="left"/>
      <w:pPr>
        <w:tabs>
          <w:tab w:val="num" w:pos="6116"/>
        </w:tabs>
        <w:ind w:left="6116" w:hanging="360"/>
      </w:pPr>
      <w:rPr>
        <w:rFonts w:ascii="Symbol" w:hAnsi="Symbol" w:hint="default"/>
      </w:rPr>
    </w:lvl>
    <w:lvl w:ilvl="7" w:tplc="040C0003" w:tentative="1">
      <w:start w:val="1"/>
      <w:numFmt w:val="bullet"/>
      <w:lvlText w:val="o"/>
      <w:lvlJc w:val="left"/>
      <w:pPr>
        <w:tabs>
          <w:tab w:val="num" w:pos="6836"/>
        </w:tabs>
        <w:ind w:left="6836" w:hanging="360"/>
      </w:pPr>
      <w:rPr>
        <w:rFonts w:ascii="Courier New" w:hAnsi="Courier New" w:hint="default"/>
      </w:rPr>
    </w:lvl>
    <w:lvl w:ilvl="8" w:tplc="040C0005" w:tentative="1">
      <w:start w:val="1"/>
      <w:numFmt w:val="bullet"/>
      <w:lvlText w:val=""/>
      <w:lvlJc w:val="left"/>
      <w:pPr>
        <w:tabs>
          <w:tab w:val="num" w:pos="7556"/>
        </w:tabs>
        <w:ind w:left="7556"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10"/>
  </w:num>
  <w:num w:numId="6">
    <w:abstractNumId w:val="14"/>
  </w:num>
  <w:num w:numId="7">
    <w:abstractNumId w:val="5"/>
  </w:num>
  <w:num w:numId="8">
    <w:abstractNumId w:val="12"/>
  </w:num>
  <w:num w:numId="9">
    <w:abstractNumId w:val="3"/>
  </w:num>
  <w:num w:numId="10">
    <w:abstractNumId w:val="0"/>
  </w:num>
  <w:num w:numId="11">
    <w:abstractNumId w:val="7"/>
  </w:num>
  <w:num w:numId="12">
    <w:abstractNumId w:val="6"/>
  </w:num>
  <w:num w:numId="13">
    <w:abstractNumId w:val="0"/>
  </w:num>
  <w:num w:numId="14">
    <w:abstractNumId w:val="0"/>
  </w:num>
  <w:num w:numId="15">
    <w:abstractNumId w:val="13"/>
  </w:num>
  <w:num w:numId="16">
    <w:abstractNumId w:val="11"/>
  </w:num>
  <w:num w:numId="17">
    <w:abstractNumId w:val="13"/>
  </w:num>
  <w:num w:numId="18">
    <w:abstractNumId w:val="13"/>
  </w:num>
  <w:num w:numId="19">
    <w:abstractNumId w:val="4"/>
  </w:num>
  <w:num w:numId="20">
    <w:abstractNumId w:val="6"/>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D3A393-BBBB-4F1E-9581-32D22DBE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eastAsia="Times New Roman"/>
      <w:sz w:val="24"/>
      <w:szCs w:val="24"/>
      <w:lang w:val="fr-FR" w:eastAsia="ar-SA"/>
    </w:rPr>
  </w:style>
  <w:style w:type="character" w:customStyle="1" w:styleId="Titre2Car">
    <w:name w:val="Titre 2 Car"/>
    <w:basedOn w:val="Policepardfaut"/>
    <w:link w:val="Titre2"/>
    <w:uiPriority w:val="99"/>
    <w:locked/>
    <w:rPr>
      <w:rFonts w:ascii="Times New Roman" w:hAnsi="Times New Roman"/>
      <w:b/>
      <w:bCs/>
      <w:lang w:val="fr-FR" w:eastAsia="ar-SA"/>
    </w:rPr>
  </w:style>
  <w:style w:type="character" w:customStyle="1" w:styleId="Titre3Car">
    <w:name w:val="Titre 3 Car"/>
    <w:basedOn w:val="Policepardfaut"/>
    <w:link w:val="Titre3"/>
    <w:uiPriority w:val="99"/>
    <w:locked/>
    <w:rPr>
      <w:rFonts w:ascii="Arial" w:eastAsia="MS Mincho" w:hAnsi="Arial" w:cs="Tahoma"/>
      <w:b/>
      <w:bCs/>
      <w:sz w:val="28"/>
      <w:szCs w:val="28"/>
      <w:lang w:val="fr-FR" w:eastAsia="ar-SA"/>
    </w:rPr>
  </w:style>
  <w:style w:type="paragraph" w:customStyle="1" w:styleId="Texte">
    <w:name w:val="Texte"/>
    <w:basedOn w:val="Normal"/>
    <w:uiPriority w:val="99"/>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basedOn w:val="Policepardfaut"/>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uiPriority w:val="99"/>
    <w:pPr>
      <w:tabs>
        <w:tab w:val="center" w:pos="4536"/>
        <w:tab w:val="right" w:pos="9072"/>
      </w:tabs>
    </w:pPr>
    <w:rPr>
      <w:rFonts w:eastAsia="Calibri"/>
    </w:rPr>
  </w:style>
  <w:style w:type="character" w:customStyle="1" w:styleId="PieddepageCar">
    <w:name w:val="Pied de page Car"/>
    <w:basedOn w:val="Policepardfaut"/>
    <w:link w:val="Pieddepage"/>
    <w:uiPriority w:val="99"/>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szCs w:val="52"/>
    </w:rPr>
  </w:style>
  <w:style w:type="character" w:customStyle="1" w:styleId="TitreCar">
    <w:name w:val="Titre Car"/>
    <w:basedOn w:val="Policepardfaut"/>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34"/>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basedOn w:val="Policepardfaut"/>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paragraph" w:styleId="Sansinterligne">
    <w:name w:val="No Spacing"/>
    <w:link w:val="SansinterligneCar"/>
    <w:uiPriority w:val="1"/>
    <w:qFormat/>
    <w:rPr>
      <w:rFonts w:eastAsia="Times New Roman"/>
      <w:sz w:val="22"/>
      <w:szCs w:val="22"/>
      <w:lang w:val="fr-FR" w:eastAsia="en-US"/>
    </w:rPr>
  </w:style>
  <w:style w:type="character" w:customStyle="1" w:styleId="SansinterligneCar">
    <w:name w:val="Sans interligne Car"/>
    <w:basedOn w:val="Policepardfaut"/>
    <w:link w:val="Sansinterligne"/>
    <w:uiPriority w:val="1"/>
    <w:rPr>
      <w:rFonts w:eastAsia="Times New Roman"/>
      <w:sz w:val="22"/>
      <w:szCs w:val="22"/>
      <w:lang w:val="fr-FR" w:eastAsia="en-US" w:bidi="ar-SA"/>
    </w:rPr>
  </w:style>
  <w:style w:type="paragraph" w:styleId="Listepuces2">
    <w:name w:val="List Bullet 2"/>
    <w:basedOn w:val="Normal"/>
    <w:autoRedefine/>
    <w:pPr>
      <w:suppressAutoHyphens w:val="0"/>
      <w:spacing w:after="120"/>
    </w:pPr>
    <w:rPr>
      <w:rFonts w:ascii="Calibri" w:hAnsi="Calibri" w:cs="Calibri"/>
      <w:kern w:val="24"/>
      <w:sz w:val="22"/>
      <w:szCs w:val="22"/>
      <w:lang w:eastAsia="fr-BE"/>
    </w:rPr>
  </w:style>
  <w:style w:type="paragraph" w:styleId="Listepuces3">
    <w:name w:val="List Bullet 3"/>
    <w:basedOn w:val="Normal"/>
    <w:unhideWhenUsed/>
    <w:pPr>
      <w:widowControl w:val="0"/>
    </w:pPr>
    <w:rPr>
      <w:rFonts w:eastAsia="SimSun" w:cs="Mangal"/>
      <w:sz w:val="24"/>
      <w:szCs w:val="21"/>
      <w:lang w:val="fr-B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74340">
      <w:bodyDiv w:val="1"/>
      <w:marLeft w:val="0"/>
      <w:marRight w:val="0"/>
      <w:marTop w:val="0"/>
      <w:marBottom w:val="0"/>
      <w:divBdr>
        <w:top w:val="none" w:sz="0" w:space="0" w:color="auto"/>
        <w:left w:val="none" w:sz="0" w:space="0" w:color="auto"/>
        <w:bottom w:val="none" w:sz="0" w:space="0" w:color="auto"/>
        <w:right w:val="none" w:sz="0" w:space="0" w:color="auto"/>
      </w:divBdr>
    </w:div>
    <w:div w:id="1329167283">
      <w:marLeft w:val="0"/>
      <w:marRight w:val="0"/>
      <w:marTop w:val="0"/>
      <w:marBottom w:val="0"/>
      <w:divBdr>
        <w:top w:val="none" w:sz="0" w:space="0" w:color="auto"/>
        <w:left w:val="none" w:sz="0" w:space="0" w:color="auto"/>
        <w:bottom w:val="none" w:sz="0" w:space="0" w:color="auto"/>
        <w:right w:val="none" w:sz="0" w:space="0" w:color="auto"/>
      </w:divBdr>
    </w:div>
    <w:div w:id="16961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00BF2-C192-47C8-8B0A-472DB896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938</Words>
  <Characters>5160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Institut Ferdinand Cocq Ixelles</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christiane</dc:creator>
  <cp:lastModifiedBy>goulet02</cp:lastModifiedBy>
  <cp:revision>14</cp:revision>
  <dcterms:created xsi:type="dcterms:W3CDTF">2019-06-12T13:58:00Z</dcterms:created>
  <dcterms:modified xsi:type="dcterms:W3CDTF">2019-12-18T13:53:00Z</dcterms:modified>
</cp:coreProperties>
</file>