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</w:pPr>
      <w:r>
        <w:rPr>
          <w:rFonts w:ascii="Times New Roman" w:hAnsi="Times New Roman"/>
          <w:b/>
          <w:sz w:val="22"/>
        </w:rPr>
        <w:t>ENSEIGNEMENT DE PROMOTION SOCIALE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4"/>
        </w:rPr>
      </w:pPr>
    </w:p>
    <w:p>
      <w:pPr>
        <w:jc w:val="center"/>
      </w:pPr>
    </w:p>
    <w:p>
      <w:pPr>
        <w:jc w:val="center"/>
      </w:pPr>
    </w:p>
    <w:p>
      <w:pPr>
        <w:pStyle w:val="Titre4"/>
      </w:pPr>
      <w:r>
        <w:t>UNITE D’ENSEIGNEMENT</w:t>
      </w:r>
    </w:p>
    <w:p>
      <w:pPr>
        <w:jc w:val="center"/>
      </w:pPr>
    </w:p>
    <w:p>
      <w:pPr>
        <w:pStyle w:val="Titre5"/>
      </w:pPr>
    </w:p>
    <w:p>
      <w:pPr>
        <w:jc w:val="center"/>
        <w:rPr>
          <w:b/>
          <w:color w:val="000000"/>
          <w:spacing w:val="-11"/>
          <w:sz w:val="34"/>
        </w:rPr>
      </w:pPr>
    </w:p>
    <w:p>
      <w:pPr>
        <w:jc w:val="center"/>
        <w:rPr>
          <w:b/>
          <w:caps/>
          <w:sz w:val="32"/>
        </w:rPr>
      </w:pPr>
      <w:r>
        <w:rPr>
          <w:b/>
          <w:caps/>
          <w:spacing w:val="-11"/>
          <w:sz w:val="32"/>
        </w:rPr>
        <w:t>« Patrimoines specifiques regionaux belges : Bruxelles »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</w:rPr>
      </w:pPr>
    </w:p>
    <w:p>
      <w:pPr>
        <w:pStyle w:val="Titre5"/>
      </w:pP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superieur de type court</w:t>
      </w:r>
    </w:p>
    <w:p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DOMAINE DES SIENCES ECONOMIQUES ET DE GESTION</w:t>
      </w:r>
    </w:p>
    <w:p>
      <w:pPr>
        <w:ind w:right="828"/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: 74 12 10 U32 D1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708</w:t>
            </w:r>
          </w:p>
        </w:tc>
      </w:tr>
      <w:tr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04 avril 2017</w:t>
      </w:r>
      <w:bookmarkStart w:id="0" w:name="_GoBack"/>
      <w:bookmarkEnd w:id="0"/>
      <w:r>
        <w:rPr>
          <w:b/>
        </w:rPr>
        <w:t>,</w:t>
      </w:r>
    </w:p>
    <w:p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  <w:insideH w:val="none" w:sz="4" w:space="0" w:color="auto"/>
          <w:insideV w:val="non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20"/>
      </w:tblGrid>
      <w:tr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pacing w:val="-11"/>
                <w:sz w:val="32"/>
              </w:rPr>
              <w:t>« Patrimoines spÉcifiques rÉgionaux belges : Bruxelles »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supÉrieur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rPr>
          <w:sz w:val="22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FINALITÉS DE L’UNITÉ D’ENSEIGNEMENT</w:t>
      </w:r>
    </w:p>
    <w:p>
      <w:pPr>
        <w:spacing w:before="120"/>
        <w:ind w:left="284"/>
        <w:jc w:val="both"/>
        <w:rPr>
          <w:sz w:val="22"/>
        </w:rPr>
      </w:pPr>
      <w:r>
        <w:rPr>
          <w:b/>
          <w:sz w:val="22"/>
        </w:rPr>
        <w:t>1.1. Finalités générales</w:t>
      </w:r>
      <w:r>
        <w:rPr>
          <w:sz w:val="22"/>
        </w:rPr>
        <w:t xml:space="preserve"> </w:t>
      </w:r>
    </w:p>
    <w:p>
      <w:pPr>
        <w:spacing w:before="120"/>
        <w:ind w:left="709"/>
        <w:jc w:val="both"/>
        <w:rPr>
          <w:sz w:val="22"/>
        </w:rPr>
      </w:pPr>
      <w:r>
        <w:rPr>
          <w:sz w:val="22"/>
        </w:rPr>
        <w:t>Conformément à l'article 7 du décret de la Communauté française du 16 avril 1991 organisant l'enseignement de promotion sociale, cette unité d’enseignement doit :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concourir à l'épanouissement individuel en promouvant une meilleure insertion professionnelle, sociale, scolaire et culturelle ;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spacing w:before="120"/>
        <w:ind w:left="284"/>
        <w:jc w:val="both"/>
        <w:rPr>
          <w:b/>
        </w:rPr>
      </w:pPr>
      <w:r>
        <w:rPr>
          <w:b/>
          <w:sz w:val="22"/>
        </w:rPr>
        <w:t>1.2. Finalités</w:t>
      </w:r>
      <w:r>
        <w:rPr>
          <w:b/>
        </w:rPr>
        <w:t xml:space="preserve"> </w:t>
      </w:r>
      <w:r>
        <w:rPr>
          <w:b/>
          <w:sz w:val="22"/>
        </w:rPr>
        <w:t>particulières</w:t>
      </w:r>
      <w:r>
        <w:rPr>
          <w:b/>
        </w:rPr>
        <w:t xml:space="preserve"> </w:t>
      </w:r>
    </w:p>
    <w:p>
      <w:pPr>
        <w:spacing w:before="120"/>
        <w:ind w:left="709"/>
        <w:jc w:val="both"/>
        <w:rPr>
          <w:color w:val="000000"/>
          <w:sz w:val="22"/>
        </w:rPr>
      </w:pPr>
      <w:r>
        <w:rPr>
          <w:color w:val="000000"/>
          <w:sz w:val="22"/>
        </w:rPr>
        <w:t>Cette unité d’enseignement vise à permettre à l'étudiant :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color w:val="000000"/>
          <w:sz w:val="22"/>
        </w:rPr>
        <w:t>d’acquérir les connaissances spécifiques touristiques d’une des trois grandes régions belges : Bruxelles-Capitale ;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de pouvoir valoriser ses atouts touristiques (patrimoine matériel et immatériel) dans le contexte d’une vente de produit touristique et d’une visite guidée.</w:t>
      </w:r>
    </w:p>
    <w:p>
      <w:pPr>
        <w:pStyle w:val="Retraitcorpsdetexte"/>
        <w:spacing w:before="120"/>
        <w:jc w:val="both"/>
        <w:rPr>
          <w:i w:val="0"/>
          <w:sz w:val="22"/>
        </w:rPr>
      </w:pPr>
    </w:p>
    <w:p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CAPACITÉS PRÉALABLES REQUISES</w:t>
      </w:r>
    </w:p>
    <w:p>
      <w:pPr>
        <w:pStyle w:val="PU1"/>
        <w:numPr>
          <w:ilvl w:val="1"/>
          <w:numId w:val="0"/>
        </w:numPr>
        <w:tabs>
          <w:tab w:val="num" w:pos="792"/>
        </w:tabs>
        <w:spacing w:before="120"/>
        <w:ind w:left="792" w:hanging="432"/>
        <w:rPr>
          <w:b/>
        </w:rPr>
      </w:pPr>
      <w:r>
        <w:rPr>
          <w:b/>
        </w:rPr>
        <w:t>2.1. Capacités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réaliser un dossier technique structuré et contextualisé relatif au guidage / aux loisirs sur les plans historique, géographique, culturel et naturel, démontrant ses capacités à :</w:t>
      </w:r>
    </w:p>
    <w:p>
      <w:pPr>
        <w:pStyle w:val="rubriq"/>
        <w:tabs>
          <w:tab w:val="clear" w:pos="1872"/>
          <w:tab w:val="num" w:pos="1418"/>
        </w:tabs>
        <w:ind w:left="1418" w:hanging="425"/>
        <w:rPr>
          <w:szCs w:val="22"/>
        </w:rPr>
      </w:pPr>
      <w:r>
        <w:rPr>
          <w:szCs w:val="22"/>
        </w:rPr>
        <w:t>gérer les contraintes techniques, organisationnelles et de communication,</w:t>
      </w:r>
    </w:p>
    <w:p>
      <w:pPr>
        <w:pStyle w:val="rubriq"/>
        <w:tabs>
          <w:tab w:val="clear" w:pos="1872"/>
          <w:tab w:val="num" w:pos="1418"/>
        </w:tabs>
        <w:ind w:left="1418" w:hanging="425"/>
      </w:pPr>
      <w:r>
        <w:t>s’adresser à un public cible.</w:t>
      </w:r>
    </w:p>
    <w:p>
      <w:pPr>
        <w:pStyle w:val="PU1"/>
        <w:numPr>
          <w:ilvl w:val="1"/>
          <w:numId w:val="0"/>
        </w:numPr>
        <w:tabs>
          <w:tab w:val="num" w:pos="792"/>
        </w:tabs>
        <w:spacing w:before="120"/>
        <w:ind w:left="792" w:hanging="432"/>
        <w:rPr>
          <w:b/>
        </w:rPr>
      </w:pPr>
      <w:r>
        <w:rPr>
          <w:b/>
        </w:rPr>
        <w:t>2.2. Titres pouvant en tenir lieu</w:t>
      </w:r>
    </w:p>
    <w:p>
      <w:pPr>
        <w:pStyle w:val="PU1"/>
        <w:numPr>
          <w:ilvl w:val="1"/>
          <w:numId w:val="0"/>
        </w:numPr>
        <w:spacing w:before="120"/>
        <w:ind w:left="851"/>
        <w:rPr>
          <w:szCs w:val="22"/>
        </w:rPr>
      </w:pPr>
      <w:r>
        <w:rPr>
          <w:szCs w:val="22"/>
        </w:rPr>
        <w:t>Brevet d’enseignement supérieur de guide touristique – guide régional ou bachelier</w:t>
      </w:r>
      <w:r>
        <w:rPr>
          <w:bCs/>
          <w:szCs w:val="22"/>
        </w:rPr>
        <w:t xml:space="preserve"> en management du tourisme et des loisirs ou titre équivalent.</w:t>
      </w:r>
    </w:p>
    <w:p>
      <w:pPr>
        <w:shd w:val="clear" w:color="auto" w:fill="FFFFFF"/>
        <w:spacing w:before="120"/>
        <w:ind w:left="851"/>
        <w:jc w:val="both"/>
        <w:rPr>
          <w:color w:val="000000"/>
          <w:sz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ACQUIS D’APPRENTISSAGE</w:t>
      </w:r>
    </w:p>
    <w:p>
      <w:pPr>
        <w:shd w:val="clear" w:color="auto" w:fill="FFFFFF"/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l'étudiant sera capable :</w:t>
      </w:r>
    </w:p>
    <w:p>
      <w:pPr>
        <w:shd w:val="clear" w:color="auto" w:fill="FFFFFF"/>
        <w:tabs>
          <w:tab w:val="left" w:pos="567"/>
        </w:tabs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 projet contextualisé pour un public cible, relatif à </w:t>
      </w:r>
      <w:r>
        <w:rPr>
          <w:i/>
          <w:sz w:val="22"/>
          <w:szCs w:val="22"/>
          <w:lang w:eastAsia="ar-SA"/>
        </w:rPr>
        <w:t>un ensemble régional, une ville, un site, un monument ou un musée,</w:t>
      </w:r>
      <w:r>
        <w:rPr>
          <w:i/>
          <w:sz w:val="22"/>
          <w:szCs w:val="22"/>
        </w:rPr>
        <w:t xml:space="preserve"> …, au choix de l’étudiant, avec approbation du chargé de cours;</w:t>
      </w:r>
    </w:p>
    <w:p>
      <w:pPr>
        <w:numPr>
          <w:ilvl w:val="0"/>
          <w:numId w:val="27"/>
        </w:numPr>
        <w:tabs>
          <w:tab w:val="clear" w:pos="360"/>
        </w:tabs>
        <w:spacing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présenter un dossier monographique et de le défendre oralement : </w:t>
      </w:r>
    </w:p>
    <w:p>
      <w:pPr>
        <w:numPr>
          <w:ilvl w:val="0"/>
          <w:numId w:val="28"/>
        </w:numPr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le contextualiser et d’y relever les éléments remarquables aux niveaux naturels, culturels, historiques et géographiques ;</w:t>
      </w:r>
    </w:p>
    <w:p>
      <w:pPr>
        <w:numPr>
          <w:ilvl w:val="0"/>
          <w:numId w:val="28"/>
        </w:numPr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d’en exposer de manière structurée et avec la terminologie adéquate, l’intérêt touristique.</w:t>
      </w:r>
    </w:p>
    <w:p>
      <w:pPr>
        <w:shd w:val="clear" w:color="auto" w:fill="FFFFFF"/>
        <w:spacing w:after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degré d’adaptation au public cible,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degré de pertinence et le niveau de précision des informations transmises,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le niveau de qualité de la présentation du dossier, 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de rigueur de l’argumentation.</w:t>
      </w:r>
    </w:p>
    <w:p>
      <w:pPr>
        <w:numPr>
          <w:ilvl w:val="12"/>
          <w:numId w:val="0"/>
        </w:numPr>
        <w:ind w:left="709" w:hanging="425"/>
        <w:jc w:val="both"/>
        <w:rPr>
          <w:sz w:val="22"/>
        </w:rPr>
      </w:pPr>
    </w:p>
    <w:p>
      <w:pPr>
        <w:spacing w:after="264" w:line="1" w:lineRule="exact"/>
        <w:jc w:val="both"/>
        <w:rPr>
          <w:sz w:val="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PROGRAMME </w:t>
      </w:r>
    </w:p>
    <w:p>
      <w:pPr>
        <w:numPr>
          <w:ilvl w:val="12"/>
          <w:numId w:val="0"/>
        </w:numPr>
        <w:spacing w:after="120"/>
        <w:ind w:left="709" w:hanging="425"/>
        <w:jc w:val="both"/>
        <w:rPr>
          <w:sz w:val="22"/>
        </w:rPr>
      </w:pPr>
      <w:r>
        <w:rPr>
          <w:sz w:val="22"/>
        </w:rPr>
        <w:t>L'étudiant sera capable :</w:t>
      </w:r>
    </w:p>
    <w:p>
      <w:pPr>
        <w:numPr>
          <w:ilvl w:val="12"/>
          <w:numId w:val="0"/>
        </w:numPr>
        <w:spacing w:after="120"/>
        <w:ind w:left="709" w:hanging="425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la perspective d’une visite guidée,</w:t>
      </w:r>
    </w:p>
    <w:p>
      <w:pPr>
        <w:pStyle w:val="Paragraphedeliste"/>
        <w:numPr>
          <w:ilvl w:val="0"/>
          <w:numId w:val="24"/>
        </w:numPr>
        <w:spacing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présenter la région de Bruxelles-Capitale en tenant compte d’un public cible : </w:t>
      </w:r>
    </w:p>
    <w:p>
      <w:pPr>
        <w:pStyle w:val="Paragraphedeliste"/>
        <w:numPr>
          <w:ilvl w:val="1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dresser la cartographie des principaux lieux touristiques et ses chiffres touristiques,</w:t>
      </w:r>
    </w:p>
    <w:p>
      <w:pPr>
        <w:pStyle w:val="Paragraphedeliste"/>
        <w:numPr>
          <w:ilvl w:val="1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présenter l’identité spécifique de la région, au niveau de ses particularités géographiques, historiques, naturelles et culturelles,</w:t>
      </w:r>
    </w:p>
    <w:p>
      <w:pPr>
        <w:pStyle w:val="Paragraphedeliste"/>
        <w:numPr>
          <w:ilvl w:val="1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d’exposer les thématiques de la région, au niveau des patrimoines matériel et immatériel :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 place en Belgique et en Europe, 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la culture et l’art,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l’architecture,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le folklore et la musique,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gastronomie et les produits du terroir, 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les activités récréatives,</w:t>
      </w:r>
    </w:p>
    <w:p>
      <w:pPr>
        <w:pStyle w:val="Paragraphedeliste"/>
        <w:numPr>
          <w:ilvl w:val="2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…,</w:t>
      </w:r>
    </w:p>
    <w:p>
      <w:pPr>
        <w:pStyle w:val="Paragraphedeliste"/>
        <w:numPr>
          <w:ilvl w:val="1"/>
          <w:numId w:val="2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spécifier ses attractions, ses monuments et ses musées incontournables ;</w:t>
      </w:r>
    </w:p>
    <w:p>
      <w:pPr>
        <w:pStyle w:val="Paragraphedeliste"/>
        <w:numPr>
          <w:ilvl w:val="0"/>
          <w:numId w:val="24"/>
        </w:numPr>
        <w:spacing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présenter les différents aspects du tourisme transrégional au travers des transports fluvial, cyclo-touristique, pédestre … ;</w:t>
      </w:r>
    </w:p>
    <w:p>
      <w:pPr>
        <w:pStyle w:val="Paragraphedeliste"/>
        <w:numPr>
          <w:ilvl w:val="0"/>
          <w:numId w:val="24"/>
        </w:numPr>
        <w:spacing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présenter un aspect du tourisme durable relatif à la région ;</w:t>
      </w:r>
    </w:p>
    <w:p>
      <w:pPr>
        <w:pStyle w:val="Paragraphedeliste"/>
        <w:numPr>
          <w:ilvl w:val="0"/>
          <w:numId w:val="24"/>
        </w:numPr>
        <w:spacing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rassembler et de tenir à jour les connaissances nécessaires sur la matière.</w:t>
      </w:r>
    </w:p>
    <w:p>
      <w:pPr>
        <w:numPr>
          <w:ilvl w:val="12"/>
          <w:numId w:val="0"/>
        </w:numPr>
        <w:spacing w:before="120"/>
        <w:ind w:left="709" w:hanging="425"/>
        <w:jc w:val="both"/>
        <w:rPr>
          <w:sz w:val="22"/>
        </w:rPr>
      </w:pPr>
    </w:p>
    <w:p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CONSTITUTION DES GROUPES OU REGROUPEMENT</w:t>
      </w:r>
    </w:p>
    <w:p>
      <w:pPr>
        <w:spacing w:before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numPr>
          <w:ilvl w:val="12"/>
          <w:numId w:val="0"/>
        </w:numPr>
        <w:spacing w:before="120"/>
        <w:ind w:left="709" w:hanging="425"/>
        <w:jc w:val="both"/>
      </w:pPr>
    </w:p>
    <w:p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CHARGE DE COURS </w:t>
      </w:r>
    </w:p>
    <w:p>
      <w:pPr>
        <w:spacing w:before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>
      <w:pPr>
        <w:numPr>
          <w:ilvl w:val="12"/>
          <w:numId w:val="0"/>
        </w:numPr>
        <w:spacing w:before="120"/>
        <w:ind w:left="709" w:hanging="425"/>
        <w:jc w:val="both"/>
        <w:rPr>
          <w:sz w:val="22"/>
        </w:rPr>
      </w:pPr>
    </w:p>
    <w:p>
      <w:pPr>
        <w:numPr>
          <w:ilvl w:val="12"/>
          <w:numId w:val="0"/>
        </w:numPr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7. HORAIRE MINIMUM DE L’UNITÉ </w:t>
      </w:r>
      <w:r>
        <w:rPr>
          <w:b/>
          <w:sz w:val="22"/>
          <w:szCs w:val="22"/>
        </w:rPr>
        <w:t>D’ENSEIGNEMENT</w:t>
      </w:r>
    </w:p>
    <w:p>
      <w:pPr>
        <w:shd w:val="clear" w:color="auto" w:fill="FFFFFF"/>
        <w:tabs>
          <w:tab w:val="left" w:pos="2755"/>
        </w:tabs>
        <w:jc w:val="both"/>
        <w:rPr>
          <w:color w:val="000000"/>
        </w:rPr>
      </w:pPr>
    </w:p>
    <w:tbl>
      <w:tblPr>
        <w:tblW w:w="907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6"/>
        <w:gridCol w:w="1710"/>
        <w:gridCol w:w="1276"/>
        <w:gridCol w:w="2410"/>
      </w:tblGrid>
      <w:tr>
        <w:trPr>
          <w:trHeight w:hRule="exact" w:val="549"/>
        </w:trPr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120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7.1. Dénomination des cours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120"/>
              <w:ind w:left="413" w:hanging="160"/>
              <w:rPr>
                <w:b/>
                <w:color w:val="000000"/>
                <w:spacing w:val="1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120"/>
              <w:ind w:left="413" w:hanging="413"/>
              <w:jc w:val="center"/>
              <w:rPr>
                <w:b/>
                <w:color w:val="000000"/>
                <w:spacing w:val="1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120"/>
              <w:ind w:left="413" w:hanging="311"/>
              <w:jc w:val="center"/>
              <w:rPr>
                <w:b/>
                <w:color w:val="000000"/>
                <w:spacing w:val="1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trHeight w:hRule="exact" w:val="627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Patrimoines spécifiques régionaux belges : Bruxelles</w:t>
            </w:r>
          </w:p>
        </w:tc>
        <w:tc>
          <w:tcPr>
            <w:tcW w:w="1710" w:type="dxa"/>
            <w:shd w:val="clear" w:color="auto" w:fill="FFFFFF"/>
          </w:tcPr>
          <w:p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shd w:val="clear" w:color="auto" w:fill="FFFFFF"/>
          </w:tcPr>
          <w:p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rPr>
          <w:trHeight w:hRule="exact" w:val="259"/>
        </w:trPr>
        <w:tc>
          <w:tcPr>
            <w:tcW w:w="5386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7.2. Part d'autonomie</w:t>
            </w:r>
          </w:p>
        </w:tc>
        <w:tc>
          <w:tcPr>
            <w:tcW w:w="1276" w:type="dxa"/>
            <w:shd w:val="clear" w:color="auto" w:fill="FFFFFF"/>
          </w:tcPr>
          <w:p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hRule="exact" w:val="317"/>
        </w:trPr>
        <w:tc>
          <w:tcPr>
            <w:tcW w:w="6662" w:type="dxa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FFFFFF"/>
          </w:tcPr>
          <w:p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Total des périodes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>
      <w:pPr>
        <w:shd w:val="clear" w:color="auto" w:fill="FFFFFF"/>
        <w:tabs>
          <w:tab w:val="left" w:pos="2755"/>
        </w:tabs>
        <w:jc w:val="both"/>
        <w:rPr>
          <w:color w:val="00000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850" w:right="1134" w:bottom="142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Style w:val="Numrodepage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Pieddepage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color w:val="0000FF"/>
        <w:sz w:val="20"/>
      </w:rPr>
    </w:pPr>
    <w:r>
      <w:rPr>
        <w:color w:val="0000FF"/>
        <w:sz w:val="20"/>
      </w:rPr>
      <w:t>« Patrimoines spécifiques régionaux belges : Bruxelles »</w:t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Page </w:t>
    </w:r>
    <w:r>
      <w:rPr>
        <w:color w:val="0000FF"/>
        <w:sz w:val="20"/>
      </w:rPr>
      <w:fldChar w:fldCharType="begin"/>
    </w:r>
    <w:r>
      <w:rPr>
        <w:color w:val="0000FF"/>
        <w:sz w:val="20"/>
      </w:rPr>
      <w:instrText xml:space="preserve"> PAGE </w:instrText>
    </w:r>
    <w:r>
      <w:rPr>
        <w:color w:val="0000FF"/>
        <w:sz w:val="20"/>
      </w:rPr>
      <w:fldChar w:fldCharType="separate"/>
    </w:r>
    <w:r>
      <w:rPr>
        <w:noProof/>
        <w:color w:val="0000FF"/>
        <w:sz w:val="20"/>
      </w:rPr>
      <w:t>3</w:t>
    </w:r>
    <w:r>
      <w:rPr>
        <w:color w:val="0000FF"/>
        <w:sz w:val="20"/>
      </w:rPr>
      <w:fldChar w:fldCharType="end"/>
    </w:r>
    <w:r>
      <w:rPr>
        <w:color w:val="0000FF"/>
        <w:sz w:val="20"/>
      </w:rPr>
      <w:t xml:space="preserve"> sur 3</w:t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C84"/>
    <w:multiLevelType w:val="multilevel"/>
    <w:tmpl w:val="97763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EA02CE"/>
    <w:multiLevelType w:val="hybridMultilevel"/>
    <w:tmpl w:val="6A04769C"/>
    <w:lvl w:ilvl="0" w:tplc="C9DEE674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78E"/>
    <w:multiLevelType w:val="multilevel"/>
    <w:tmpl w:val="F7BEE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AD5330"/>
    <w:multiLevelType w:val="multilevel"/>
    <w:tmpl w:val="1D20D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790E05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1CB15841"/>
    <w:multiLevelType w:val="hybridMultilevel"/>
    <w:tmpl w:val="D64E1F9E"/>
    <w:lvl w:ilvl="0" w:tplc="08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648504F"/>
    <w:multiLevelType w:val="multilevel"/>
    <w:tmpl w:val="359E7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063AB1"/>
    <w:multiLevelType w:val="hybridMultilevel"/>
    <w:tmpl w:val="3A9A8B30"/>
    <w:lvl w:ilvl="0" w:tplc="B7166C74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19702498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22243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AC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B62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300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2E1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4F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CA3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6774EA"/>
    <w:multiLevelType w:val="multilevel"/>
    <w:tmpl w:val="27C88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E5348F"/>
    <w:multiLevelType w:val="multilevel"/>
    <w:tmpl w:val="1C02B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00B25B8"/>
    <w:multiLevelType w:val="hybridMultilevel"/>
    <w:tmpl w:val="719AB16E"/>
    <w:lvl w:ilvl="0" w:tplc="F3A83802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448D0EC6"/>
    <w:multiLevelType w:val="hybridMultilevel"/>
    <w:tmpl w:val="FAAC51D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25FAD"/>
    <w:multiLevelType w:val="hybridMultilevel"/>
    <w:tmpl w:val="CEA2C4B0"/>
    <w:lvl w:ilvl="0" w:tplc="1598ECD0">
      <w:numFmt w:val="bullet"/>
      <w:lvlText w:val="♦"/>
      <w:lvlJc w:val="left"/>
      <w:pPr>
        <w:ind w:left="1004" w:hanging="360"/>
      </w:pPr>
      <w:rPr>
        <w:rFonts w:ascii="Times New Roman" w:hAnsi="Times New Roman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CEDAFE">
      <w:start w:val="4"/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  <w:sz w:val="20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4703D2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48FE6FE5"/>
    <w:multiLevelType w:val="multilevel"/>
    <w:tmpl w:val="EE2A8AB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3177C0"/>
    <w:multiLevelType w:val="hybridMultilevel"/>
    <w:tmpl w:val="3AD69532"/>
    <w:lvl w:ilvl="0" w:tplc="670480C6">
      <w:start w:val="1"/>
      <w:numFmt w:val="bullet"/>
      <w:lvlText w:val=""/>
      <w:legacy w:legacy="1" w:legacySpace="0" w:legacyIndent="283"/>
      <w:lvlJc w:val="left"/>
      <w:pPr>
        <w:ind w:left="1075" w:hanging="283"/>
      </w:pPr>
      <w:rPr>
        <w:rFonts w:ascii="Symbol" w:hAnsi="Symbol" w:hint="default"/>
      </w:rPr>
    </w:lvl>
    <w:lvl w:ilvl="1" w:tplc="285E1F96">
      <w:start w:val="1"/>
      <w:numFmt w:val="bullet"/>
      <w:pStyle w:val="rubriq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F6035E5"/>
    <w:multiLevelType w:val="hybridMultilevel"/>
    <w:tmpl w:val="877AF14E"/>
    <w:lvl w:ilvl="0" w:tplc="C9DEE674">
      <w:start w:val="1"/>
      <w:numFmt w:val="bullet"/>
      <w:lvlText w:val=""/>
      <w:lvlJc w:val="left"/>
      <w:pPr>
        <w:ind w:left="1860" w:hanging="360"/>
      </w:pPr>
      <w:rPr>
        <w:rFonts w:ascii="Symbol" w:hAnsi="Symbol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5FDF3FB5"/>
    <w:multiLevelType w:val="multilevel"/>
    <w:tmpl w:val="9782BA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8" w15:restartNumberingAfterBreak="0">
    <w:nsid w:val="627141EB"/>
    <w:multiLevelType w:val="multilevel"/>
    <w:tmpl w:val="0870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4F96AEB"/>
    <w:multiLevelType w:val="multilevel"/>
    <w:tmpl w:val="09D0AC12"/>
    <w:lvl w:ilvl="0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/>
      </w:rPr>
    </w:lvl>
  </w:abstractNum>
  <w:abstractNum w:abstractNumId="20" w15:restartNumberingAfterBreak="0">
    <w:nsid w:val="745A5F52"/>
    <w:multiLevelType w:val="hybridMultilevel"/>
    <w:tmpl w:val="43AC82B8"/>
    <w:lvl w:ilvl="0" w:tplc="F3A83802">
      <w:start w:val="1"/>
      <w:numFmt w:val="bullet"/>
      <w:lvlText w:val=""/>
      <w:lvlJc w:val="left"/>
      <w:pPr>
        <w:ind w:left="1713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CAC1F1B"/>
    <w:multiLevelType w:val="multilevel"/>
    <w:tmpl w:val="0C384036"/>
    <w:lvl w:ilvl="0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3">
    <w:abstractNumId w:val="4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/>
        </w:rPr>
      </w:lvl>
    </w:lvlOverride>
  </w:num>
  <w:num w:numId="4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5">
    <w:abstractNumId w:val="19"/>
  </w:num>
  <w:num w:numId="6">
    <w:abstractNumId w:val="17"/>
  </w:num>
  <w:num w:numId="7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0"/>
  </w:num>
  <w:num w:numId="15">
    <w:abstractNumId w:val="18"/>
  </w:num>
  <w:num w:numId="16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7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8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9">
    <w:abstractNumId w:val="4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20">
    <w:abstractNumId w:val="1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6"/>
  </w:num>
  <w:num w:numId="26">
    <w:abstractNumId w:val="1"/>
  </w:num>
  <w:num w:numId="27">
    <w:abstractNumId w:val="13"/>
  </w:num>
  <w:num w:numId="28">
    <w:abstractNumId w:val="11"/>
  </w:num>
  <w:num w:numId="29">
    <w:abstractNumId w:val="10"/>
  </w:num>
  <w:num w:numId="30">
    <w:abstractNumId w:val="20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35DDB3-4CAB-4AD7-B8B8-DDDBDE9D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link w:val="Titre1Car"/>
    <w:uiPriority w:val="99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link w:val="Titre2Car"/>
    <w:uiPriority w:val="99"/>
    <w:qFormat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link w:val="Titre3Car"/>
    <w:uiPriority w:val="99"/>
    <w:qFormat/>
    <w:pPr>
      <w:keepNext/>
      <w:outlineLvl w:val="2"/>
    </w:pPr>
    <w:rPr>
      <w:i/>
      <w:sz w:val="22"/>
    </w:rPr>
  </w:style>
  <w:style w:type="paragraph" w:styleId="Titre4">
    <w:name w:val="heading 4"/>
    <w:basedOn w:val="Normal"/>
    <w:link w:val="Titre4Car"/>
    <w:uiPriority w:val="99"/>
    <w:qFormat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link w:val="Titre5Car"/>
    <w:uiPriority w:val="99"/>
    <w:qFormat/>
    <w:pPr>
      <w:keepNext/>
      <w:jc w:val="center"/>
      <w:outlineLvl w:val="4"/>
    </w:pPr>
    <w:rPr>
      <w:b/>
      <w:caps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cs="Times New Roman"/>
      <w:b/>
      <w:sz w:val="24"/>
      <w:lang w:val="fr-BE" w:eastAsia="fr-BE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sz w:val="22"/>
      <w:lang w:val="fr-BE" w:eastAsia="fr-BE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cs="Times New Roman"/>
      <w:i/>
      <w:sz w:val="22"/>
      <w:lang w:val="fr-BE" w:eastAsia="fr-BE" w:bidi="ar-SA"/>
    </w:rPr>
  </w:style>
  <w:style w:type="character" w:customStyle="1" w:styleId="Titre4Car">
    <w:name w:val="Titre 4 Car"/>
    <w:basedOn w:val="Policepardfaut"/>
    <w:link w:val="Titre4"/>
    <w:uiPriority w:val="99"/>
    <w:locked/>
    <w:rPr>
      <w:rFonts w:cs="Times New Roman"/>
      <w:b/>
      <w:sz w:val="22"/>
      <w:lang w:val="fr-BE" w:eastAsia="fr-BE" w:bidi="ar-SA"/>
    </w:rPr>
  </w:style>
  <w:style w:type="character" w:customStyle="1" w:styleId="Titre5Car">
    <w:name w:val="Titre 5 Car"/>
    <w:basedOn w:val="Policepardfaut"/>
    <w:link w:val="Titre5"/>
    <w:uiPriority w:val="99"/>
    <w:locked/>
    <w:rPr>
      <w:rFonts w:cs="Times New Roman"/>
      <w:b/>
      <w:caps/>
      <w:sz w:val="32"/>
      <w:lang w:val="fr-BE" w:eastAsia="fr-BE" w:bidi="ar-SA"/>
    </w:rPr>
  </w:style>
  <w:style w:type="character" w:customStyle="1" w:styleId="Titre6Car">
    <w:name w:val="Titre 6 Car"/>
    <w:basedOn w:val="Policepardfaut"/>
    <w:link w:val="Titre6"/>
    <w:uiPriority w:val="99"/>
    <w:locked/>
    <w:rPr>
      <w:rFonts w:ascii="Cambria" w:hAnsi="Cambria" w:cs="Times New Roman"/>
      <w:i/>
      <w:color w:val="243F60"/>
    </w:rPr>
  </w:style>
  <w:style w:type="character" w:customStyle="1" w:styleId="Titre7Car">
    <w:name w:val="Titre 7 Car"/>
    <w:basedOn w:val="Policepardfaut"/>
    <w:link w:val="Titre7"/>
    <w:uiPriority w:val="99"/>
    <w:locked/>
    <w:rPr>
      <w:rFonts w:ascii="Cambria" w:hAnsi="Cambria" w:cs="Times New Roman"/>
      <w:i/>
      <w:color w:val="404040"/>
    </w:rPr>
  </w:style>
  <w:style w:type="character" w:customStyle="1" w:styleId="Titre8Car">
    <w:name w:val="Titre 8 Car"/>
    <w:basedOn w:val="Policepardfaut"/>
    <w:link w:val="Titre8"/>
    <w:uiPriority w:val="99"/>
    <w:locked/>
    <w:rPr>
      <w:rFonts w:ascii="Cambria" w:hAnsi="Cambria" w:cs="Times New Roman"/>
      <w:color w:val="404040"/>
      <w:sz w:val="20"/>
    </w:rPr>
  </w:style>
  <w:style w:type="character" w:customStyle="1" w:styleId="Titre9Car">
    <w:name w:val="Titre 9 Car"/>
    <w:basedOn w:val="Policepardfaut"/>
    <w:link w:val="Titre9"/>
    <w:uiPriority w:val="99"/>
    <w:locked/>
    <w:rPr>
      <w:rFonts w:ascii="Cambria" w:hAnsi="Cambria" w:cs="Times New Roman"/>
      <w:i/>
      <w:color w:val="404040"/>
      <w:sz w:val="20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customStyle="1" w:styleId="Texte">
    <w:name w:val="Texte"/>
    <w:uiPriority w:val="99"/>
    <w:rPr>
      <w:rFonts w:ascii="MS Serif" w:hAnsi="MS Serif"/>
    </w:rPr>
  </w:style>
  <w:style w:type="paragraph" w:styleId="Corpsdetexte">
    <w:name w:val="Body Text"/>
    <w:basedOn w:val="Normal"/>
    <w:link w:val="CorpsdetexteCar"/>
    <w:uiPriority w:val="99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paragraph" w:customStyle="1" w:styleId="PU1">
    <w:name w:val="PU1"/>
    <w:pPr>
      <w:jc w:val="both"/>
    </w:pPr>
    <w:rPr>
      <w:sz w:val="22"/>
    </w:rPr>
  </w:style>
  <w:style w:type="paragraph" w:customStyle="1" w:styleId="Chapeau">
    <w:name w:val="Chapeau"/>
    <w:uiPriority w:val="99"/>
    <w:rPr>
      <w:i/>
      <w:sz w:val="24"/>
    </w:rPr>
  </w:style>
  <w:style w:type="paragraph" w:customStyle="1" w:styleId="P15">
    <w:name w:val="P1_5"/>
    <w:uiPriority w:val="99"/>
    <w:pPr>
      <w:ind w:left="1134" w:hanging="283"/>
    </w:pPr>
    <w:rPr>
      <w:sz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customStyle="1" w:styleId="Corpsdetexte21">
    <w:name w:val="Corps de texte 21"/>
    <w:uiPriority w:val="99"/>
    <w:pPr>
      <w:ind w:left="426"/>
      <w:jc w:val="both"/>
    </w:pPr>
    <w:rPr>
      <w:i/>
      <w:sz w:val="22"/>
    </w:rPr>
  </w:style>
  <w:style w:type="paragraph" w:customStyle="1" w:styleId="Normal10">
    <w:name w:val="Normal+10"/>
    <w:uiPriority w:val="99"/>
    <w:rPr>
      <w:sz w:val="24"/>
    </w:rPr>
  </w:style>
  <w:style w:type="paragraph" w:customStyle="1" w:styleId="Normal7">
    <w:name w:val="Normal+7"/>
    <w:uiPriority w:val="99"/>
    <w:rPr>
      <w:sz w:val="24"/>
    </w:rPr>
  </w:style>
  <w:style w:type="paragraph" w:customStyle="1" w:styleId="Dbut1">
    <w:name w:val="Début1"/>
    <w:uiPriority w:val="99"/>
    <w:pPr>
      <w:tabs>
        <w:tab w:val="left" w:pos="851"/>
      </w:tabs>
      <w:spacing w:before="120"/>
      <w:ind w:left="284"/>
      <w:jc w:val="both"/>
    </w:pPr>
    <w:rPr>
      <w:sz w:val="22"/>
    </w:rPr>
  </w:style>
  <w:style w:type="paragraph" w:customStyle="1" w:styleId="Paragraphedeliste1">
    <w:name w:val="Paragraphe de liste1"/>
    <w:uiPriority w:val="99"/>
    <w:pPr>
      <w:ind w:left="708"/>
    </w:pPr>
    <w:rPr>
      <w:sz w:val="24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Pr>
      <w:rFonts w:cs="Times New Roman"/>
      <w:b/>
    </w:rPr>
  </w:style>
  <w:style w:type="character" w:styleId="Rfrenceintense">
    <w:name w:val="Intense Reference"/>
    <w:basedOn w:val="Policepardfaut"/>
    <w:uiPriority w:val="99"/>
    <w:qFormat/>
    <w:rPr>
      <w:rFonts w:cs="Times New Roman"/>
      <w:b/>
      <w:smallCaps/>
      <w:color w:val="C0504D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cs="Times New Roman"/>
      <w:b/>
      <w:i/>
      <w:color w:val="4F81BD"/>
    </w:rPr>
  </w:style>
  <w:style w:type="paragraph" w:styleId="Notedefin">
    <w:name w:val="endnote text"/>
    <w:basedOn w:val="Normal"/>
    <w:link w:val="NotedefinCar"/>
    <w:uiPriority w:val="99"/>
    <w:semiHidden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</w:rPr>
  </w:style>
  <w:style w:type="character" w:styleId="Accentuation">
    <w:name w:val="Emphasis"/>
    <w:basedOn w:val="Policepardfaut"/>
    <w:uiPriority w:val="99"/>
    <w:qFormat/>
    <w:rPr>
      <w:rFonts w:cs="Times New Roman"/>
      <w:i/>
    </w:rPr>
  </w:style>
  <w:style w:type="character" w:customStyle="1" w:styleId="FootnoteTextChar">
    <w:name w:val="Footnote Text Char"/>
    <w:uiPriority w:val="99"/>
    <w:semiHidden/>
    <w:locked/>
    <w:rPr>
      <w:sz w:val="20"/>
    </w:rPr>
  </w:style>
  <w:style w:type="character" w:styleId="Titredulivre">
    <w:name w:val="Book Title"/>
    <w:basedOn w:val="Policepardfaut"/>
    <w:uiPriority w:val="99"/>
    <w:qFormat/>
    <w:rPr>
      <w:rFonts w:cs="Times New Roman"/>
      <w:b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99"/>
    <w:qFormat/>
    <w:rPr>
      <w:i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rPr>
      <w:rFonts w:ascii="Courier New" w:hAnsi="Courier New" w:cs="Courier New"/>
      <w:sz w:val="21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urier New" w:hAnsi="Courier New" w:cs="Courier New"/>
      <w:sz w:val="21"/>
    </w:rPr>
  </w:style>
  <w:style w:type="character" w:styleId="Rfrenceple">
    <w:name w:val="Subtle Reference"/>
    <w:basedOn w:val="Policepardfaut"/>
    <w:uiPriority w:val="99"/>
    <w:qFormat/>
    <w:rPr>
      <w:rFonts w:cs="Times New Roman"/>
      <w:smallCaps/>
      <w:color w:val="C0504D"/>
      <w:u w:val="single"/>
    </w:rPr>
  </w:style>
  <w:style w:type="character" w:styleId="Emphaseintense">
    <w:name w:val="Intense Emphasis"/>
    <w:basedOn w:val="Policepardfaut"/>
    <w:uiPriority w:val="99"/>
    <w:qFormat/>
    <w:rPr>
      <w:rFonts w:cs="Times New Roman"/>
      <w:b/>
      <w:i/>
      <w:color w:val="4F81BD"/>
    </w:rPr>
  </w:style>
  <w:style w:type="paragraph" w:styleId="Sansinterligne">
    <w:name w:val="No Spacing"/>
    <w:uiPriority w:val="99"/>
    <w:qFormat/>
    <w:rPr>
      <w:sz w:val="24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99"/>
    <w:qFormat/>
    <w:rPr>
      <w:rFonts w:ascii="Cambria" w:hAnsi="Cambria"/>
      <w:i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i/>
      <w:color w:val="4F81BD"/>
      <w:spacing w:val="15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color w:val="17365D"/>
      <w:spacing w:val="5"/>
      <w:sz w:val="52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ppeldenotedefin">
    <w:name w:val="endnote reference"/>
    <w:basedOn w:val="Policepardfaut"/>
    <w:uiPriority w:val="99"/>
    <w:semiHidden/>
    <w:rPr>
      <w:rFonts w:cs="Times New Roman"/>
      <w:vertAlign w:val="superscript"/>
    </w:rPr>
  </w:style>
  <w:style w:type="character" w:styleId="Emphaseple">
    <w:name w:val="Subtle Emphasis"/>
    <w:basedOn w:val="Policepardfaut"/>
    <w:uiPriority w:val="99"/>
    <w:qFormat/>
    <w:rPr>
      <w:rFonts w:cs="Times New Roman"/>
      <w:i/>
      <w:color w:val="808080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customStyle="1" w:styleId="dbut10">
    <w:name w:val="début1"/>
    <w:basedOn w:val="Normal"/>
    <w:pPr>
      <w:spacing w:before="120" w:after="120"/>
      <w:ind w:left="851"/>
      <w:jc w:val="both"/>
    </w:pPr>
    <w:rPr>
      <w:sz w:val="22"/>
      <w:lang w:val="fr-FR" w:eastAsia="fr-FR"/>
    </w:rPr>
  </w:style>
  <w:style w:type="paragraph" w:customStyle="1" w:styleId="rubriq">
    <w:name w:val="rubriq"/>
    <w:basedOn w:val="dbut10"/>
    <w:next w:val="dbut10"/>
    <w:autoRedefine/>
    <w:pPr>
      <w:numPr>
        <w:ilvl w:val="1"/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5287-ECBA-4F94-B0F9-C0012405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LEEGTE Pascale</dc:creator>
  <cp:lastModifiedBy>goulet02</cp:lastModifiedBy>
  <cp:revision>7</cp:revision>
  <cp:lastPrinted>2016-10-18T07:37:00Z</cp:lastPrinted>
  <dcterms:created xsi:type="dcterms:W3CDTF">2016-12-12T16:16:00Z</dcterms:created>
  <dcterms:modified xsi:type="dcterms:W3CDTF">2017-04-27T13:53:00Z</dcterms:modified>
</cp:coreProperties>
</file>