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C0C">
      <w:pPr>
        <w:pStyle w:val="Texte"/>
        <w:jc w:val="right"/>
        <w:rPr>
          <w:rFonts w:ascii="Times New Roman" w:hAnsi="Times New Roman" w:cs="Times New Roman"/>
          <w:noProof w:val="0"/>
          <w:lang w:val="fr-FR"/>
        </w:rPr>
      </w:pPr>
      <w:bookmarkStart w:id="0" w:name="_GoBack"/>
      <w:bookmarkEnd w:id="0"/>
    </w:p>
    <w:p w:rsidR="00000000" w:rsidRDefault="006A4C0C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MINISTERE DE LA COMMUNAUTE FRANCAISE</w:t>
      </w:r>
    </w:p>
    <w:p w:rsidR="00000000" w:rsidRDefault="006A4C0C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 w:rsidR="00000000" w:rsidRDefault="006A4C0C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  <w:t>ADMINISTRATION GENERALE DE L’</w:t>
      </w:r>
      <w:r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  <w:t>ENSEIGNEMENTET DE LA RECHERCHE SCIENTIFIQUE</w:t>
      </w:r>
    </w:p>
    <w:p w:rsidR="00000000" w:rsidRDefault="006A4C0C">
      <w:pPr>
        <w:pStyle w:val="Texte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000000" w:rsidRDefault="006A4C0C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ENSEIGNEMENT DE PROMOTION SOCIALE DE REGIME 1</w:t>
      </w:r>
    </w:p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/>
    <w:p w:rsidR="00000000" w:rsidRDefault="006A4C0C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 w:rsidR="00000000" w:rsidRDefault="006A4C0C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 w:rsidR="00000000" w:rsidRDefault="006A4C0C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 w:rsidR="00000000" w:rsidRDefault="006A4C0C"/>
    <w:p w:rsidR="00000000" w:rsidRDefault="006A4C0C"/>
    <w:p w:rsidR="00000000" w:rsidRDefault="006A4C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 DE FORMATION</w:t>
      </w:r>
    </w:p>
    <w:p w:rsidR="00000000" w:rsidRDefault="006A4C0C">
      <w:pPr>
        <w:jc w:val="center"/>
        <w:rPr>
          <w:sz w:val="22"/>
          <w:szCs w:val="22"/>
        </w:rPr>
      </w:pPr>
    </w:p>
    <w:p w:rsidR="00000000" w:rsidRDefault="006A4C0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informatique – </w:t>
      </w:r>
    </w:p>
    <w:p w:rsidR="00000000" w:rsidRDefault="006A4C0C">
      <w:pPr>
        <w:jc w:val="center"/>
      </w:pPr>
      <w:r>
        <w:rPr>
          <w:b/>
          <w:bCs/>
          <w:caps/>
          <w:sz w:val="32"/>
          <w:szCs w:val="32"/>
        </w:rPr>
        <w:t>initiation à la gestion des données</w:t>
      </w:r>
    </w:p>
    <w:p w:rsidR="00000000" w:rsidRDefault="006A4C0C">
      <w:pPr>
        <w:jc w:val="center"/>
      </w:pPr>
    </w:p>
    <w:p w:rsidR="00000000" w:rsidRDefault="006A4C0C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 w:cs="Times New Roman"/>
          <w:b/>
          <w:bCs/>
          <w:caps/>
          <w:noProof w:val="0"/>
          <w:sz w:val="22"/>
          <w:szCs w:val="22"/>
          <w:lang w:val="fr-FR"/>
        </w:rPr>
        <w:t>secondaire superieur de transition</w:t>
      </w:r>
    </w:p>
    <w:p w:rsidR="00000000" w:rsidRDefault="006A4C0C">
      <w:pPr>
        <w:jc w:val="center"/>
      </w:pPr>
    </w:p>
    <w:p w:rsidR="00000000" w:rsidRDefault="006A4C0C">
      <w:pPr>
        <w:jc w:val="center"/>
      </w:pPr>
    </w:p>
    <w:p w:rsidR="00000000" w:rsidRDefault="006A4C0C">
      <w:pPr>
        <w:jc w:val="center"/>
      </w:pPr>
    </w:p>
    <w:p w:rsidR="00000000" w:rsidRDefault="006A4C0C">
      <w:pPr>
        <w:jc w:val="center"/>
      </w:pP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3"/>
        <w:gridCol w:w="497"/>
        <w:gridCol w:w="41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A4C0C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CODE DE L’UNITE DE FORMATION :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4C0C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A4C0C">
            <w:pPr>
              <w:pStyle w:val="Texte"/>
              <w:ind w:right="1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CODE DU DOMAINE DE 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32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A4C0C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75 44 00 U 21 D1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6A4C0C">
            <w:pPr>
              <w:pStyle w:val="Text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6A4C0C">
            <w:pPr>
              <w:pStyle w:val="Text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</w:t>
            </w:r>
          </w:p>
        </w:tc>
      </w:tr>
    </w:tbl>
    <w:p w:rsidR="00000000" w:rsidRDefault="006A4C0C"/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A4C0C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</w:p>
          <w:p w:rsidR="00000000" w:rsidRDefault="006A4C0C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REFERENCE INTER-RESEAUX</w:t>
            </w:r>
          </w:p>
          <w:p w:rsidR="00000000" w:rsidRDefault="006A4C0C"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</w:p>
        </w:tc>
      </w:tr>
    </w:tbl>
    <w:p w:rsidR="00000000" w:rsidRDefault="006A4C0C">
      <w:pPr>
        <w:jc w:val="center"/>
      </w:pPr>
    </w:p>
    <w:p w:rsidR="00000000" w:rsidRDefault="006A4C0C">
      <w:pPr>
        <w:jc w:val="center"/>
      </w:pPr>
    </w:p>
    <w:p w:rsidR="00000000" w:rsidRDefault="006A4C0C">
      <w:pPr>
        <w:jc w:val="center"/>
      </w:pPr>
    </w:p>
    <w:p w:rsidR="00000000" w:rsidRDefault="006A4C0C">
      <w:pPr>
        <w:jc w:val="center"/>
      </w:pPr>
    </w:p>
    <w:p w:rsidR="00000000" w:rsidRDefault="006A4C0C">
      <w:pPr>
        <w:jc w:val="center"/>
        <w:rPr>
          <w:b/>
          <w:bCs/>
        </w:rPr>
      </w:pPr>
      <w:r>
        <w:rPr>
          <w:b/>
          <w:bCs/>
        </w:rPr>
        <w:t>Approbation du Gouvernement de la Communauté française du 22 décembre 1998,</w:t>
      </w:r>
    </w:p>
    <w:p w:rsidR="00000000" w:rsidRDefault="006A4C0C">
      <w:pPr>
        <w:jc w:val="center"/>
        <w:rPr>
          <w:b/>
          <w:bCs/>
        </w:rPr>
      </w:pPr>
      <w:r>
        <w:rPr>
          <w:b/>
          <w:bCs/>
        </w:rPr>
        <w:t>sur avis conforme de la Commission de concertation</w:t>
      </w:r>
    </w:p>
    <w:p w:rsidR="00000000" w:rsidRDefault="006A4C0C">
      <w:pPr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bottom w:val="single" w:sz="30" w:space="0" w:color="auto"/>
            </w:tcBorders>
          </w:tcPr>
          <w:p w:rsidR="00000000" w:rsidRDefault="006A4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:rsidR="00000000" w:rsidRDefault="006A4C0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informatique - initiation a la gestion des donnees – </w:t>
            </w:r>
          </w:p>
          <w:p w:rsidR="00000000" w:rsidRDefault="006A4C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0000" w:rsidRDefault="006A4C0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enseignement secondaire supérieur de transition</w:t>
            </w:r>
          </w:p>
          <w:p w:rsidR="00000000" w:rsidRDefault="006A4C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00000" w:rsidRDefault="006A4C0C"/>
    <w:p w:rsidR="00000000" w:rsidRDefault="006A4C0C"/>
    <w:p w:rsidR="00000000" w:rsidRDefault="006A4C0C"/>
    <w:p w:rsidR="00000000" w:rsidRDefault="006A4C0C"/>
    <w:p w:rsidR="00000000" w:rsidRDefault="006A4C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FINALITES DE L’UNITE DE FORMATION</w:t>
      </w:r>
    </w:p>
    <w:p w:rsidR="00000000" w:rsidRDefault="006A4C0C"/>
    <w:p w:rsidR="00000000" w:rsidRDefault="006A4C0C">
      <w:p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</w:t>
      </w:r>
      <w:r>
        <w:rPr>
          <w:b/>
          <w:bCs/>
          <w:sz w:val="22"/>
          <w:szCs w:val="22"/>
        </w:rPr>
        <w:tab/>
        <w:t>Finalités générales</w:t>
      </w: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</w:t>
      </w:r>
      <w:r>
        <w:rPr>
          <w:sz w:val="22"/>
          <w:szCs w:val="22"/>
        </w:rPr>
        <w:t>article 7 du décret de la Communauté française du 16 avril 1991, cette unité de formation doit :</w:t>
      </w:r>
    </w:p>
    <w:p w:rsidR="00000000" w:rsidRDefault="006A4C0C">
      <w:pPr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scolaire;</w:t>
      </w:r>
    </w:p>
    <w:p w:rsidR="00000000" w:rsidRDefault="006A4C0C">
      <w:pPr>
        <w:numPr>
          <w:ilvl w:val="12"/>
          <w:numId w:val="0"/>
        </w:numPr>
        <w:ind w:left="1134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</w:t>
      </w:r>
      <w:r>
        <w:rPr>
          <w:sz w:val="22"/>
          <w:szCs w:val="22"/>
        </w:rPr>
        <w:t xml:space="preserve"> demandes en formation émanant des entreprises, des administrations, de l’enseignement et d’une manière générale des milieux socio-économiques et culturels.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</w:t>
      </w:r>
      <w:r>
        <w:rPr>
          <w:b/>
          <w:bCs/>
          <w:sz w:val="22"/>
          <w:szCs w:val="22"/>
        </w:rPr>
        <w:tab/>
        <w:t>Finalités particulières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noProof w:val="0"/>
          <w:sz w:val="22"/>
          <w:szCs w:val="22"/>
          <w:lang w:val="fr-FR"/>
        </w:rPr>
        <w:t>L’unité de formation vise à faire acquérir à l'étudiant des techni</w:t>
      </w:r>
      <w:r>
        <w:rPr>
          <w:rFonts w:ascii="Times New Roman" w:hAnsi="Times New Roman" w:cs="Times New Roman"/>
          <w:noProof w:val="0"/>
          <w:sz w:val="22"/>
          <w:szCs w:val="22"/>
          <w:lang w:val="fr-FR"/>
        </w:rPr>
        <w:t>ques simples de gestion des données.</w:t>
      </w:r>
    </w:p>
    <w:p w:rsidR="00000000" w:rsidRDefault="006A4C0C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noProof w:val="0"/>
          <w:sz w:val="22"/>
          <w:szCs w:val="22"/>
          <w:lang w:val="fr-FR"/>
        </w:rPr>
        <w:t>Au travers d'activités essentiellement pratiques, elle doit fournir à l'étudiant les principes liés aux outils utilisés pour la gestion des données (gestion des fichiers, système de gestion de bases de données, ...). Le</w:t>
      </w:r>
      <w:r>
        <w:rPr>
          <w:rFonts w:ascii="Times New Roman" w:hAnsi="Times New Roman" w:cs="Times New Roman"/>
          <w:noProof w:val="0"/>
          <w:sz w:val="22"/>
          <w:szCs w:val="22"/>
          <w:lang w:val="fr-FR"/>
        </w:rPr>
        <w:t>s application seront tirées des domaines familial, professionnel, social et scolaire pour :</w:t>
      </w:r>
    </w:p>
    <w:p w:rsidR="00000000" w:rsidRDefault="006A4C0C">
      <w:pPr>
        <w:pStyle w:val="Texte"/>
        <w:numPr>
          <w:ilvl w:val="12"/>
          <w:numId w:val="0"/>
        </w:numPr>
        <w:ind w:left="1065" w:hanging="357"/>
        <w:jc w:val="both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permettre de répondre de manière raisonnée à l'informatisation par la compréhension des concepts mis en jeu;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134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initier aux techniques et connaissances né</w:t>
      </w:r>
      <w:r>
        <w:rPr>
          <w:sz w:val="22"/>
          <w:szCs w:val="22"/>
        </w:rPr>
        <w:t>cessaires à l'utilisation des systèmes informatiques;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134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développer :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851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des attitudes critiques vis-à-vis du traitement automatique de l'information;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des méthodes de travail transférables;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des attitudes d'autogestion de la formation et d'é</w:t>
      </w:r>
      <w:r>
        <w:rPr>
          <w:sz w:val="22"/>
          <w:szCs w:val="22"/>
        </w:rPr>
        <w:t>volution autonome (auto-formation);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425"/>
        <w:rPr>
          <w:sz w:val="22"/>
          <w:szCs w:val="22"/>
        </w:rPr>
      </w:pPr>
      <w:r>
        <w:rPr>
          <w:sz w:val="22"/>
          <w:szCs w:val="22"/>
        </w:rPr>
        <w:t>N.B. L'apprentissage ne doit pas se limiter à la connaissance d'un logiciel particulier</w:t>
      </w:r>
    </w:p>
    <w:p w:rsidR="00000000" w:rsidRDefault="006A4C0C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2.</w:t>
      </w:r>
      <w:r>
        <w:rPr>
          <w:b/>
          <w:bCs/>
          <w:sz w:val="22"/>
          <w:szCs w:val="22"/>
        </w:rPr>
        <w:tab/>
        <w:t>CAPACITES PREALABLES REQUISES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</w:t>
      </w:r>
      <w:r>
        <w:rPr>
          <w:b/>
          <w:bCs/>
          <w:sz w:val="22"/>
          <w:szCs w:val="22"/>
        </w:rPr>
        <w:tab/>
        <w:t>Capacités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851"/>
        <w:rPr>
          <w:sz w:val="22"/>
          <w:szCs w:val="22"/>
        </w:rPr>
      </w:pPr>
      <w:r>
        <w:rPr>
          <w:sz w:val="22"/>
          <w:szCs w:val="22"/>
        </w:rPr>
        <w:t>L’étudiant sera capable :</w:t>
      </w:r>
    </w:p>
    <w:p w:rsidR="00000000" w:rsidRDefault="006A4C0C">
      <w:pPr>
        <w:numPr>
          <w:ilvl w:val="12"/>
          <w:numId w:val="0"/>
        </w:numPr>
        <w:ind w:left="851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 comprendre, à</w:t>
      </w:r>
      <w:r>
        <w:rPr>
          <w:sz w:val="22"/>
          <w:szCs w:val="22"/>
        </w:rPr>
        <w:t xml:space="preserve"> la lecture, un texte de niveau de fin d'études secondaires inférieurs et d'exécuter des consignes orales simples;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face à un système informatique sur lequel est installé un système d'exploitation connu (deux essai maximum):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vérifier que le systè</w:t>
      </w:r>
      <w:r>
        <w:rPr>
          <w:sz w:val="22"/>
          <w:szCs w:val="22"/>
        </w:rPr>
        <w:t>me est prêt à l'emploi;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charger un programme proposé à partir d'une mémoire de masse;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lancer une exécution de programme;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déplacer le curseur;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d'utiliser la barre d'espacement, la touche "retour" et celle d'effacement;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d'intro</w:t>
      </w:r>
      <w:r>
        <w:rPr>
          <w:sz w:val="22"/>
          <w:szCs w:val="22"/>
        </w:rPr>
        <w:t>duire des données numériques et alphanumériques;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sortir du programme;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6A4C0C">
      <w:pPr>
        <w:numPr>
          <w:ilvl w:val="0"/>
          <w:numId w:val="2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d'arrêter le système et de le laisser prêt pour l'utilisateur suivant;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41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d'identifier sur un schéma proposé, les composants d'un environnement informatique étudié;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 différencier des éléments tels que les connexions, les périphériques.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jc w:val="both"/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851"/>
        <w:jc w:val="both"/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</w:t>
      </w:r>
      <w:r>
        <w:rPr>
          <w:b/>
          <w:bCs/>
          <w:sz w:val="22"/>
          <w:szCs w:val="22"/>
        </w:rPr>
        <w:tab/>
        <w:t>Titres pouvant en tenir lieu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Attestation de réussite de l’unité de formation</w:t>
      </w:r>
    </w:p>
    <w:p w:rsidR="00000000" w:rsidRDefault="006A4C0C">
      <w:pPr>
        <w:numPr>
          <w:ilvl w:val="12"/>
          <w:numId w:val="0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“ </w:t>
      </w:r>
      <w:r>
        <w:rPr>
          <w:caps/>
          <w:sz w:val="22"/>
          <w:szCs w:val="22"/>
        </w:rPr>
        <w:t>informatique - INITIATION A L’INFORMATIQUE</w:t>
      </w:r>
      <w:r>
        <w:rPr>
          <w:sz w:val="22"/>
          <w:szCs w:val="22"/>
        </w:rPr>
        <w:t> ”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  <w:t>HORAIRE MINIMUM DE L’UNITE DE FORMATION</w:t>
      </w:r>
    </w:p>
    <w:p w:rsidR="00000000" w:rsidRDefault="006A4C0C">
      <w:pPr>
        <w:numPr>
          <w:ilvl w:val="12"/>
          <w:numId w:val="0"/>
        </w:numPr>
        <w:ind w:left="708" w:hanging="708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  <w:r>
              <w:rPr>
                <w:b/>
                <w:bCs/>
              </w:rPr>
              <w:t>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jc w:val="center"/>
            </w:pPr>
            <w:r>
              <w:t>Nombre de périodes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</w:pPr>
            <w:r>
              <w:t>Laboratoire Pratique de logiciels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6A4C0C">
            <w:pPr>
              <w:numPr>
                <w:ilvl w:val="12"/>
                <w:numId w:val="0"/>
              </w:num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6A4C0C">
            <w:pPr>
              <w:numPr>
                <w:ilvl w:val="12"/>
                <w:numId w:val="0"/>
              </w:num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ind w:right="567"/>
              <w:jc w:val="right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 w:rsidR="00000000" w:rsidRDefault="006A4C0C">
            <w:pPr>
              <w:numPr>
                <w:ilvl w:val="12"/>
                <w:numId w:val="0"/>
              </w:num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3.2.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6A4C0C">
            <w:pPr>
              <w:numPr>
                <w:ilvl w:val="12"/>
                <w:numId w:val="0"/>
              </w:num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ind w:right="567"/>
              <w:jc w:val="right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6A4C0C">
            <w:pPr>
              <w:numPr>
                <w:ilvl w:val="12"/>
                <w:numId w:val="0"/>
              </w:numPr>
            </w:pPr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6A4C0C">
            <w:pPr>
              <w:numPr>
                <w:ilvl w:val="12"/>
                <w:numId w:val="0"/>
              </w:num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A4C0C">
            <w:pPr>
              <w:numPr>
                <w:ilvl w:val="12"/>
                <w:numId w:val="0"/>
              </w:numPr>
              <w:ind w:right="567"/>
              <w:jc w:val="right"/>
            </w:pPr>
            <w:r>
              <w:t>40</w:t>
            </w:r>
          </w:p>
        </w:tc>
      </w:tr>
    </w:tbl>
    <w:p w:rsidR="00000000" w:rsidRDefault="006A4C0C">
      <w:pPr>
        <w:numPr>
          <w:ilvl w:val="12"/>
          <w:numId w:val="0"/>
        </w:numPr>
        <w:ind w:firstLine="1"/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4.</w:t>
      </w:r>
      <w:r>
        <w:rPr>
          <w:b/>
          <w:bCs/>
          <w:sz w:val="22"/>
          <w:szCs w:val="22"/>
        </w:rPr>
        <w:tab/>
        <w:t>PROGRAMME</w:t>
      </w:r>
    </w:p>
    <w:p w:rsidR="00000000" w:rsidRDefault="006A4C0C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6A4C0C">
      <w:pPr>
        <w:numPr>
          <w:ilvl w:val="12"/>
          <w:numId w:val="0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 travers l'utilisation d'au moins un logiciel spécifique, l'étudiant sera capable</w:t>
      </w:r>
    </w:p>
    <w:p w:rsidR="00000000" w:rsidRDefault="006A4C0C">
      <w:pPr>
        <w:numPr>
          <w:ilvl w:val="12"/>
          <w:numId w:val="0"/>
        </w:numPr>
        <w:ind w:left="426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définir table ou fichier, enregistrement, champ;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distinguer les types de champs courants: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créer une table, un fichier;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créer, modifier et supprimer un champ;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créer, modifier et supprimer un enregistrement;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sauvegarder et de récupérer un fichier, une table;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regrouper et de traiter globalement des informations :</w:t>
      </w:r>
    </w:p>
    <w:p w:rsidR="00000000" w:rsidRDefault="006A4C0C">
      <w:pPr>
        <w:numPr>
          <w:ilvl w:val="12"/>
          <w:numId w:val="0"/>
        </w:numPr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2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visualiser les informations en mode "tableau" (browse);</w:t>
      </w:r>
    </w:p>
    <w:p w:rsidR="00000000" w:rsidRDefault="006A4C0C">
      <w:pPr>
        <w:numPr>
          <w:ilvl w:val="0"/>
          <w:numId w:val="2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visualiser les informations en mode "fiche";</w:t>
      </w:r>
    </w:p>
    <w:p w:rsidR="00000000" w:rsidRDefault="006A4C0C">
      <w:pPr>
        <w:numPr>
          <w:ilvl w:val="0"/>
          <w:numId w:val="2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diffé</w:t>
      </w:r>
      <w:r>
        <w:rPr>
          <w:sz w:val="22"/>
          <w:szCs w:val="22"/>
        </w:rPr>
        <w:t>rencier ces deux formats;</w:t>
      </w:r>
    </w:p>
    <w:p w:rsidR="00000000" w:rsidRDefault="006A4C0C">
      <w:pPr>
        <w:numPr>
          <w:ilvl w:val="0"/>
          <w:numId w:val="2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effectuer des classements;</w:t>
      </w:r>
    </w:p>
    <w:p w:rsidR="00000000" w:rsidRDefault="006A4C0C">
      <w:pPr>
        <w:numPr>
          <w:ilvl w:val="0"/>
          <w:numId w:val="2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effectuer des recherches;</w:t>
      </w:r>
    </w:p>
    <w:p w:rsidR="00000000" w:rsidRDefault="006A4C0C">
      <w:pPr>
        <w:numPr>
          <w:ilvl w:val="0"/>
          <w:numId w:val="2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remplacer rapidement l'information d'un champ dans plusieurs enregistrement à la fois;</w:t>
      </w:r>
    </w:p>
    <w:p w:rsidR="00000000" w:rsidRDefault="006A4C0C">
      <w:pPr>
        <w:numPr>
          <w:ilvl w:val="12"/>
          <w:numId w:val="0"/>
        </w:numPr>
        <w:ind w:left="993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concevoir des états de sortie (rapports, étiquettes, ...)</w:t>
      </w:r>
    </w:p>
    <w:p w:rsidR="00000000" w:rsidRDefault="006A4C0C">
      <w:pPr>
        <w:ind w:left="991" w:hanging="283"/>
        <w:jc w:val="both"/>
        <w:rPr>
          <w:sz w:val="22"/>
          <w:szCs w:val="22"/>
        </w:rPr>
      </w:pPr>
    </w:p>
    <w:p w:rsidR="00000000" w:rsidRDefault="006A4C0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Recommandations :</w:t>
      </w:r>
    </w:p>
    <w:p w:rsidR="00000000" w:rsidRDefault="006A4C0C">
      <w:pPr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On encouragera le respect des règles ergonomiques.</w:t>
      </w:r>
    </w:p>
    <w:p w:rsidR="00000000" w:rsidRDefault="006A4C0C">
      <w:pPr>
        <w:numPr>
          <w:ilvl w:val="12"/>
          <w:numId w:val="0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On évitera l'utilisation gratuite d'un jargon technique. Il suffira à l'étudiant d'acquérir assez de vocabulaire technique pour lui permettre de suivre les instructions et de co</w:t>
      </w:r>
      <w:r>
        <w:rPr>
          <w:sz w:val="22"/>
          <w:szCs w:val="22"/>
        </w:rPr>
        <w:t xml:space="preserve">mprendre une information proposées par une fiche technique élémentaire. </w:t>
      </w: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numPr>
          <w:ilvl w:val="0"/>
          <w:numId w:val="6"/>
        </w:num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CAPACITES TERMINALES</w:t>
      </w:r>
    </w:p>
    <w:p w:rsidR="00000000" w:rsidRDefault="006A4C0C">
      <w:pPr>
        <w:rPr>
          <w:b/>
          <w:bCs/>
          <w:sz w:val="22"/>
          <w:szCs w:val="22"/>
        </w:rPr>
      </w:pP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tabs>
          <w:tab w:val="left" w:pos="-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Pour atteindre le seuil de réussite, l’étudiant prouvera qu’il est capable, face à un système informatique connu sur lequel sont installés les logiciels q</w:t>
      </w:r>
      <w:r>
        <w:rPr>
          <w:sz w:val="22"/>
          <w:szCs w:val="22"/>
        </w:rPr>
        <w:t>ui ont servi à l'apprentissage, en respectant le temps alloué et les règles d'utilisation de l'équipement et du matériel informatique,</w:t>
      </w:r>
    </w:p>
    <w:p w:rsidR="00000000" w:rsidRDefault="006A4C0C">
      <w:pPr>
        <w:tabs>
          <w:tab w:val="left" w:pos="-720"/>
        </w:tabs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5"/>
        </w:num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créer une table, un fichier;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709" w:hanging="284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créer, modifier et supprimer des enregistrements;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regrouper et de traiter globalement des informations;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d'effectuer des recherches;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remplacer rapidement l'information d'un champ dans plusieurs enregistrements à la fois;</w:t>
      </w:r>
    </w:p>
    <w:p w:rsidR="00000000" w:rsidRDefault="006A4C0C">
      <w:pPr>
        <w:numPr>
          <w:ilvl w:val="12"/>
          <w:numId w:val="0"/>
        </w:numPr>
        <w:tabs>
          <w:tab w:val="left" w:pos="-720"/>
        </w:tabs>
        <w:ind w:left="709" w:hanging="283"/>
        <w:jc w:val="both"/>
        <w:rPr>
          <w:sz w:val="22"/>
          <w:szCs w:val="22"/>
        </w:rPr>
      </w:pPr>
    </w:p>
    <w:p w:rsidR="00000000" w:rsidRDefault="006A4C0C">
      <w:pPr>
        <w:numPr>
          <w:ilvl w:val="0"/>
          <w:numId w:val="1"/>
        </w:numPr>
        <w:tabs>
          <w:tab w:val="left" w:pos="-7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sauvegarder et de récupérer le fichier, la table.</w:t>
      </w:r>
    </w:p>
    <w:p w:rsidR="00000000" w:rsidRDefault="006A4C0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00000" w:rsidRDefault="006A4C0C">
      <w:pPr>
        <w:pStyle w:val="Texte"/>
        <w:ind w:left="426"/>
        <w:jc w:val="both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noProof w:val="0"/>
          <w:sz w:val="22"/>
          <w:szCs w:val="22"/>
          <w:lang w:val="fr-FR"/>
        </w:rPr>
        <w:t>Pour la déter</w:t>
      </w:r>
      <w:r>
        <w:rPr>
          <w:rFonts w:ascii="Times New Roman" w:hAnsi="Times New Roman" w:cs="Times New Roman"/>
          <w:noProof w:val="0"/>
          <w:sz w:val="22"/>
          <w:szCs w:val="22"/>
          <w:lang w:val="fr-FR"/>
        </w:rPr>
        <w:t>mination du degré de maîtrise, il sera tenu compte des choix techniques opérés et du degré d'autonomie atteint.</w:t>
      </w: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  <w:t>CHARGE(S) DE COURS</w:t>
      </w: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ind w:left="426"/>
        <w:rPr>
          <w:sz w:val="22"/>
          <w:szCs w:val="22"/>
        </w:rPr>
      </w:pPr>
      <w:r>
        <w:rPr>
          <w:sz w:val="22"/>
          <w:szCs w:val="22"/>
        </w:rPr>
        <w:t>Le chargé de cours sera un enseignant.</w:t>
      </w:r>
    </w:p>
    <w:p w:rsidR="00000000" w:rsidRDefault="006A4C0C">
      <w:pPr>
        <w:ind w:left="426"/>
        <w:rPr>
          <w:sz w:val="22"/>
          <w:szCs w:val="22"/>
        </w:rPr>
      </w:pPr>
    </w:p>
    <w:p w:rsidR="00000000" w:rsidRDefault="006A4C0C">
      <w:pPr>
        <w:rPr>
          <w:sz w:val="22"/>
          <w:szCs w:val="22"/>
        </w:rPr>
      </w:pPr>
    </w:p>
    <w:p w:rsidR="00000000" w:rsidRDefault="006A4C0C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  <w:t>CONSTITUTION DES GROUPES OU REGROUPEMENT</w:t>
      </w:r>
    </w:p>
    <w:p w:rsidR="00000000" w:rsidRDefault="006A4C0C">
      <w:pPr>
        <w:rPr>
          <w:sz w:val="22"/>
          <w:szCs w:val="22"/>
        </w:rPr>
      </w:pPr>
    </w:p>
    <w:p w:rsidR="006A4C0C" w:rsidRDefault="006A4C0C">
      <w:pPr>
        <w:tabs>
          <w:tab w:val="left" w:pos="-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Il est conseillé de ne pas organi</w:t>
      </w:r>
      <w:r>
        <w:rPr>
          <w:sz w:val="22"/>
          <w:szCs w:val="22"/>
        </w:rPr>
        <w:t>ser de groupes comportant plus de deux étudiants par poste de travail et plus de vingt étudiants par groupe.</w:t>
      </w:r>
    </w:p>
    <w:sectPr w:rsidR="006A4C0C">
      <w:footerReference w:type="default" r:id="rId8"/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0C" w:rsidRDefault="006A4C0C">
      <w:r>
        <w:separator/>
      </w:r>
    </w:p>
  </w:endnote>
  <w:endnote w:type="continuationSeparator" w:id="0">
    <w:p w:rsidR="006A4C0C" w:rsidRDefault="006A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4C0C">
    <w:pPr>
      <w:pStyle w:val="Pieddepage"/>
      <w:rPr>
        <w:lang w:val="fr-BE"/>
      </w:rPr>
    </w:pPr>
    <w:r>
      <w:rPr>
        <w:sz w:val="16"/>
        <w:szCs w:val="16"/>
        <w:lang w:val="fr-B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36314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0C" w:rsidRDefault="006A4C0C">
      <w:r>
        <w:separator/>
      </w:r>
    </w:p>
  </w:footnote>
  <w:footnote w:type="continuationSeparator" w:id="0">
    <w:p w:rsidR="006A4C0C" w:rsidRDefault="006A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D6483"/>
    <w:multiLevelType w:val="singleLevel"/>
    <w:tmpl w:val="6B340A5E"/>
    <w:lvl w:ilvl="0">
      <w:start w:val="5"/>
      <w:numFmt w:val="decimal"/>
      <w:lvlText w:val="%1"/>
      <w:legacy w:legacy="1" w:legacySpace="0" w:legacyIndent="420"/>
      <w:lvlJc w:val="left"/>
      <w:pPr>
        <w:ind w:left="420" w:hanging="420"/>
      </w:pPr>
    </w:lvl>
  </w:abstractNum>
  <w:abstractNum w:abstractNumId="2">
    <w:nsid w:val="2CE62BC0"/>
    <w:multiLevelType w:val="singleLevel"/>
    <w:tmpl w:val="96AE2DB8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53EA032F"/>
    <w:multiLevelType w:val="singleLevel"/>
    <w:tmpl w:val="9C3C4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cs="Symbol" w:hint="default"/>
          <w:sz w:val="18"/>
          <w:szCs w:val="18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09" w:hanging="284"/>
        </w:pPr>
        <w:rPr>
          <w:rFonts w:ascii="Symbol" w:hAnsi="Symbol" w:cs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14"/>
    <w:rsid w:val="006A4C0C"/>
    <w:rsid w:val="00C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informatique - réseaux - niveau moyen</vt:lpstr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informatique - réseaux - niveau moyen</dc:title>
  <dc:creator>Nicole LOGNARD</dc:creator>
  <cp:lastModifiedBy>Philippe Pierard</cp:lastModifiedBy>
  <cp:revision>2</cp:revision>
  <cp:lastPrinted>1998-10-19T07:34:00Z</cp:lastPrinted>
  <dcterms:created xsi:type="dcterms:W3CDTF">2017-10-20T13:53:00Z</dcterms:created>
  <dcterms:modified xsi:type="dcterms:W3CDTF">2017-10-20T13:53:00Z</dcterms:modified>
</cp:coreProperties>
</file>