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>MINISTERE DE LA COMMUNAUTE FRANCAISE</w:t>
      </w:r>
    </w:p>
    <w:p>
      <w:pPr>
        <w:jc w:val="center"/>
        <w:rPr>
          <w:b/>
        </w:rPr>
      </w:pPr>
    </w:p>
    <w:p>
      <w:pPr>
        <w:jc w:val="center"/>
        <w:rPr>
          <w:b/>
          <w:sz w:val="20"/>
        </w:rPr>
      </w:pPr>
      <w:r>
        <w:rPr>
          <w:b/>
          <w:sz w:val="20"/>
        </w:rPr>
        <w:t>ADMINISTRATION GENERALE DE L’ENSEIGNEMENT</w:t>
      </w:r>
    </w:p>
    <w:p>
      <w:pPr>
        <w:jc w:val="center"/>
        <w:rPr>
          <w:sz w:val="20"/>
        </w:rPr>
      </w:pPr>
    </w:p>
    <w:p>
      <w:pPr>
        <w:jc w:val="center"/>
        <w:rPr>
          <w:b/>
        </w:rPr>
      </w:pPr>
      <w:r>
        <w:rPr>
          <w:b/>
        </w:rPr>
        <w:t>ENSEIGNEMENT DE PROMOTION SOCIALE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DOSSIER PEDAGOGIQUE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UNITE D’ENSEIGNEMENT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BASES EN SCIENCES FONDAMENTALES</w: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ENSEIGNEMENT SECONDAIRE 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29"/>
      </w:tblGrid>
      <w:t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>
            <w:pPr>
              <w:pStyle w:val="Titre8"/>
              <w:spacing w:before="0" w:after="0" w:line="276" w:lineRule="auto"/>
            </w:pPr>
            <w:r>
              <w:t>CODE : 821103U21D2</w:t>
            </w:r>
          </w:p>
        </w:tc>
      </w:tr>
      <w:t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CODE DU DOMAINE DE FORMATION : 803</w:t>
            </w:r>
          </w:p>
        </w:tc>
      </w:tr>
      <w:t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spacing w:line="276" w:lineRule="auto"/>
              <w:jc w:val="center"/>
            </w:pPr>
            <w:r>
              <w:rPr>
                <w:b/>
              </w:rPr>
              <w:t>DOCUMENT DE REFERENCE INTER-RESEAUX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  <w:rPr>
          <w:b/>
        </w:rPr>
      </w:pPr>
      <w:r>
        <w:rPr>
          <w:b/>
        </w:rPr>
        <w:t xml:space="preserve">Approbation du Gouvernement de la Communauté française du </w:t>
      </w:r>
      <w:bookmarkStart w:id="0" w:name="_GoBack"/>
      <w:r>
        <w:rPr>
          <w:b/>
        </w:rPr>
        <w:t>06 juin 2017</w:t>
      </w:r>
      <w:bookmarkEnd w:id="0"/>
      <w:r>
        <w:rPr>
          <w:b/>
        </w:rPr>
        <w:t>,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BASES EN SCIENCES FONDAMENTALES</w:t>
            </w:r>
          </w:p>
          <w:p>
            <w:pPr>
              <w:spacing w:line="276" w:lineRule="auto"/>
              <w:jc w:val="center"/>
              <w:rPr>
                <w:b/>
                <w:sz w:val="28"/>
              </w:rPr>
            </w:pPr>
          </w:p>
          <w:p>
            <w:pPr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</w:rPr>
              <w:t xml:space="preserve">ENSEIGNEMENT SECONDAIRE SUPERIEUR DE TRANSITION </w:t>
            </w:r>
          </w:p>
          <w:p>
            <w:pPr>
              <w:spacing w:line="276" w:lineRule="auto"/>
              <w:jc w:val="center"/>
              <w:rPr>
                <w:b/>
              </w:rPr>
            </w:pPr>
          </w:p>
        </w:tc>
      </w:tr>
    </w:tbl>
    <w:p>
      <w:pPr>
        <w:numPr>
          <w:ilvl w:val="0"/>
          <w:numId w:val="1"/>
        </w:numPr>
        <w:tabs>
          <w:tab w:val="num" w:pos="1416"/>
        </w:tabs>
        <w:spacing w:before="120" w:after="120"/>
        <w:ind w:left="357" w:hanging="357"/>
        <w:jc w:val="both"/>
        <w:rPr>
          <w:b/>
        </w:rPr>
      </w:pPr>
      <w:r>
        <w:rPr>
          <w:b/>
        </w:rPr>
        <w:t>FINALITES DE L’UNITE D’ENSEIGNEMENT</w:t>
      </w:r>
    </w:p>
    <w:p>
      <w:pPr>
        <w:numPr>
          <w:ilvl w:val="1"/>
          <w:numId w:val="1"/>
        </w:numPr>
        <w:tabs>
          <w:tab w:val="left" w:pos="851"/>
        </w:tabs>
        <w:spacing w:after="120"/>
        <w:ind w:left="851" w:hanging="425"/>
        <w:jc w:val="both"/>
        <w:rPr>
          <w:b/>
        </w:rPr>
      </w:pPr>
      <w:r>
        <w:rPr>
          <w:b/>
        </w:rPr>
        <w:t>Finalités générales</w:t>
      </w:r>
    </w:p>
    <w:p>
      <w:pPr>
        <w:pStyle w:val="Retraitcorpsdetexte2"/>
        <w:spacing w:after="120"/>
        <w:ind w:left="851"/>
      </w:pPr>
      <w:r>
        <w:t>Conformément à l’article 7 du décret de la Communauté française du 16 avril 1991 organisant l’Enseignement de promotion sociale, cette unité d’enseignement doit :</w:t>
      </w:r>
    </w:p>
    <w:p>
      <w:pPr>
        <w:numPr>
          <w:ilvl w:val="0"/>
          <w:numId w:val="2"/>
        </w:numPr>
        <w:tabs>
          <w:tab w:val="num" w:pos="1276"/>
        </w:tabs>
        <w:spacing w:after="120"/>
        <w:ind w:hanging="425"/>
        <w:jc w:val="both"/>
      </w:pPr>
      <w:r>
        <w:t>concourir à l’épanouissement individuel en promouvant une meilleure insertion professionnelle, sociale et culturelle ;</w:t>
      </w:r>
    </w:p>
    <w:p>
      <w:pPr>
        <w:numPr>
          <w:ilvl w:val="0"/>
          <w:numId w:val="2"/>
        </w:numPr>
        <w:tabs>
          <w:tab w:val="num" w:pos="1276"/>
        </w:tabs>
        <w:spacing w:after="120"/>
        <w:ind w:hanging="425"/>
        <w:jc w:val="both"/>
      </w:pPr>
      <w:r>
        <w:t>répondre aux besoins et demandes en formation émanant des entreprises, des administrations, de l’enseignement et d’une manière générale des milieux socio-économiques et culturels.</w:t>
      </w:r>
    </w:p>
    <w:p>
      <w:pPr>
        <w:numPr>
          <w:ilvl w:val="1"/>
          <w:numId w:val="1"/>
        </w:numPr>
        <w:tabs>
          <w:tab w:val="left" w:pos="851"/>
        </w:tabs>
        <w:spacing w:after="120"/>
        <w:ind w:left="851" w:hanging="425"/>
        <w:jc w:val="both"/>
        <w:rPr>
          <w:b/>
        </w:rPr>
      </w:pPr>
      <w:r>
        <w:rPr>
          <w:b/>
        </w:rPr>
        <w:t>Finalités particulières</w:t>
      </w:r>
    </w:p>
    <w:p>
      <w:pPr>
        <w:tabs>
          <w:tab w:val="left" w:pos="851"/>
        </w:tabs>
        <w:spacing w:after="120"/>
        <w:ind w:left="851"/>
        <w:jc w:val="both"/>
      </w:pPr>
      <w:r>
        <w:t>Cette unité d’enseignement vise à permettre à l’étudiant d’acquérir et de se référer à des connaissances de base relatives à la bactériologie, la virologie, la parasitologie, la pharmacologie, l’étude de l’environnement, l’hygiène professionnelle, la prévention et la prophylaxie afin d’intégrer les fonctions de l’infirmier liées à la prévention des infections, à la sécurité thérapeutique et à la gestion des déchets de soins.</w:t>
      </w:r>
    </w:p>
    <w:p>
      <w:pPr>
        <w:tabs>
          <w:tab w:val="left" w:pos="851"/>
        </w:tabs>
        <w:spacing w:after="120"/>
        <w:ind w:left="851"/>
        <w:jc w:val="both"/>
      </w:pPr>
    </w:p>
    <w:p>
      <w:pPr>
        <w:numPr>
          <w:ilvl w:val="0"/>
          <w:numId w:val="1"/>
        </w:numPr>
        <w:tabs>
          <w:tab w:val="num" w:pos="1416"/>
        </w:tabs>
        <w:spacing w:after="120"/>
        <w:jc w:val="both"/>
        <w:rPr>
          <w:b/>
        </w:rPr>
      </w:pPr>
      <w:r>
        <w:rPr>
          <w:b/>
        </w:rPr>
        <w:t>CAPACITES PREALABLES REQUISES</w:t>
      </w:r>
    </w:p>
    <w:p>
      <w:pPr>
        <w:pStyle w:val="Paragraphedeliste"/>
        <w:tabs>
          <w:tab w:val="left" w:pos="851"/>
        </w:tabs>
        <w:spacing w:after="120"/>
        <w:ind w:left="357"/>
        <w:contextualSpacing w:val="0"/>
        <w:jc w:val="both"/>
        <w:rPr>
          <w:b/>
        </w:rPr>
      </w:pPr>
      <w:r>
        <w:rPr>
          <w:b/>
        </w:rPr>
        <w:t>2.1.</w:t>
      </w:r>
      <w:r>
        <w:rPr>
          <w:b/>
        </w:rPr>
        <w:tab/>
        <w:t>Capacités</w:t>
      </w:r>
    </w:p>
    <w:p>
      <w:pPr>
        <w:pStyle w:val="Paragraphedeliste"/>
        <w:tabs>
          <w:tab w:val="num" w:pos="1416"/>
        </w:tabs>
        <w:spacing w:after="120"/>
        <w:ind w:left="851"/>
        <w:contextualSpacing w:val="0"/>
        <w:jc w:val="both"/>
        <w:rPr>
          <w:b/>
        </w:rPr>
      </w:pPr>
      <w:r>
        <w:rPr>
          <w:b/>
        </w:rPr>
        <w:t>En initiation aux soins infirmiers généraux et aux sciences fondamentales</w:t>
      </w:r>
    </w:p>
    <w:p>
      <w:pPr>
        <w:pStyle w:val="Retraitcorpsdetexte2"/>
        <w:spacing w:after="120"/>
        <w:ind w:left="851"/>
        <w:rPr>
          <w:bCs/>
          <w:i/>
          <w:color w:val="000000"/>
        </w:rPr>
      </w:pPr>
      <w:r>
        <w:rPr>
          <w:bCs/>
          <w:i/>
          <w:color w:val="000000"/>
        </w:rPr>
        <w:t>dans son rôle propre et de collaboration, au départ de situations fictives de prises en soins d’un bénéficiaire adulte et en utilisant le vocabulaire adéquat,</w:t>
      </w:r>
    </w:p>
    <w:p>
      <w:pPr>
        <w:numPr>
          <w:ilvl w:val="0"/>
          <w:numId w:val="5"/>
        </w:numPr>
        <w:tabs>
          <w:tab w:val="clear" w:pos="0"/>
          <w:tab w:val="num" w:pos="1134"/>
        </w:tabs>
        <w:spacing w:after="120"/>
        <w:ind w:left="1134" w:hanging="283"/>
        <w:jc w:val="both"/>
        <w:rPr>
          <w:bCs/>
          <w:i/>
          <w:color w:val="000000"/>
        </w:rPr>
      </w:pPr>
      <w:r>
        <w:rPr>
          <w:bCs/>
          <w:color w:val="000000"/>
        </w:rPr>
        <w:t>identifier et définir des concepts et des principes liés à la prise en soins infirmiers, à la démarche en soins à la science infirmière, aux manifestations de dépendance et d’indépendance ;</w:t>
      </w:r>
    </w:p>
    <w:p>
      <w:pPr>
        <w:numPr>
          <w:ilvl w:val="0"/>
          <w:numId w:val="5"/>
        </w:numPr>
        <w:tabs>
          <w:tab w:val="clear" w:pos="0"/>
          <w:tab w:val="num" w:pos="1134"/>
        </w:tabs>
        <w:spacing w:after="120"/>
        <w:ind w:left="1134" w:hanging="283"/>
        <w:jc w:val="both"/>
        <w:rPr>
          <w:bCs/>
          <w:i/>
          <w:color w:val="000000"/>
        </w:rPr>
      </w:pPr>
      <w:r>
        <w:rPr>
          <w:bCs/>
          <w:color w:val="000000"/>
        </w:rPr>
        <w:t>récolter et classer des données en utilisant un modèle d’observation ;</w:t>
      </w:r>
    </w:p>
    <w:p>
      <w:pPr>
        <w:numPr>
          <w:ilvl w:val="0"/>
          <w:numId w:val="5"/>
        </w:numPr>
        <w:tabs>
          <w:tab w:val="clear" w:pos="0"/>
          <w:tab w:val="num" w:pos="1134"/>
        </w:tabs>
        <w:spacing w:after="120"/>
        <w:ind w:left="1134" w:hanging="283"/>
        <w:jc w:val="both"/>
        <w:rPr>
          <w:bCs/>
          <w:i/>
          <w:color w:val="000000"/>
        </w:rPr>
      </w:pPr>
      <w:r>
        <w:rPr>
          <w:bCs/>
          <w:color w:val="000000"/>
        </w:rPr>
        <w:t>décrire, appliquer et justifier des techniques de soins infirmiers généraux qui respectent l’environnement du bénéficiaire, les principes de base d’hygiène, de confort et de sécurité ;</w:t>
      </w:r>
    </w:p>
    <w:p>
      <w:pPr>
        <w:numPr>
          <w:ilvl w:val="0"/>
          <w:numId w:val="5"/>
        </w:numPr>
        <w:tabs>
          <w:tab w:val="clear" w:pos="0"/>
          <w:tab w:val="num" w:pos="1134"/>
        </w:tabs>
        <w:spacing w:after="120"/>
        <w:ind w:left="1134" w:hanging="283"/>
        <w:jc w:val="both"/>
        <w:rPr>
          <w:bCs/>
          <w:i/>
          <w:color w:val="000000"/>
        </w:rPr>
      </w:pPr>
      <w:r>
        <w:rPr>
          <w:bCs/>
          <w:color w:val="000000"/>
        </w:rPr>
        <w:t xml:space="preserve">pour les systèmes tégumentaire, osseux, musculaire, digestif et urinaire, situer les éléments anatomiques </w:t>
      </w:r>
      <w:r>
        <w:rPr>
          <w:bCs/>
        </w:rPr>
        <w:t xml:space="preserve">concernés par les situations et </w:t>
      </w:r>
      <w:r>
        <w:rPr>
          <w:bCs/>
          <w:color w:val="000000"/>
        </w:rPr>
        <w:t>expliciter leur structure et leur fonctionnement ;</w:t>
      </w:r>
    </w:p>
    <w:p>
      <w:pPr>
        <w:numPr>
          <w:ilvl w:val="0"/>
          <w:numId w:val="5"/>
        </w:numPr>
        <w:tabs>
          <w:tab w:val="clear" w:pos="0"/>
          <w:tab w:val="num" w:pos="1134"/>
        </w:tabs>
        <w:spacing w:after="120"/>
        <w:ind w:left="1134" w:hanging="283"/>
        <w:jc w:val="both"/>
        <w:rPr>
          <w:bCs/>
          <w:i/>
          <w:color w:val="000000"/>
        </w:rPr>
      </w:pPr>
      <w:r>
        <w:rPr>
          <w:bCs/>
          <w:color w:val="000000"/>
        </w:rPr>
        <w:t>comparer le résultat d’une prise de constantes biologiques courantes en lien avec la norme ;</w:t>
      </w:r>
    </w:p>
    <w:p>
      <w:pPr>
        <w:numPr>
          <w:ilvl w:val="0"/>
          <w:numId w:val="5"/>
        </w:numPr>
        <w:tabs>
          <w:tab w:val="clear" w:pos="0"/>
          <w:tab w:val="num" w:pos="1134"/>
        </w:tabs>
        <w:spacing w:after="120"/>
        <w:ind w:left="1134" w:hanging="283"/>
        <w:jc w:val="both"/>
        <w:rPr>
          <w:bCs/>
          <w:color w:val="000000"/>
        </w:rPr>
      </w:pPr>
      <w:r>
        <w:rPr>
          <w:bCs/>
          <w:color w:val="000000"/>
        </w:rPr>
        <w:t>citer et expliciter les différents composants de la matière vivante humaine, la structure, le fonctionnement et les mécanismes biochimiques et biophysiques de la cellule et des différents tissus.</w:t>
      </w:r>
    </w:p>
    <w:p>
      <w:pPr>
        <w:autoSpaceDE/>
        <w:autoSpaceDN/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>
      <w:pPr>
        <w:pStyle w:val="Paragraphedeliste"/>
        <w:tabs>
          <w:tab w:val="left" w:pos="851"/>
        </w:tabs>
        <w:spacing w:after="120"/>
        <w:ind w:left="357"/>
        <w:contextualSpacing w:val="0"/>
        <w:jc w:val="both"/>
        <w:rPr>
          <w:b/>
        </w:rPr>
      </w:pPr>
      <w:r>
        <w:rPr>
          <w:b/>
        </w:rPr>
        <w:lastRenderedPageBreak/>
        <w:t>2.2.</w:t>
      </w:r>
      <w:r>
        <w:rPr>
          <w:b/>
        </w:rPr>
        <w:tab/>
        <w:t>Titre pouvant en tenir lieu</w:t>
      </w:r>
    </w:p>
    <w:p>
      <w:pPr>
        <w:pStyle w:val="Paragraphedeliste"/>
        <w:tabs>
          <w:tab w:val="num" w:pos="1416"/>
        </w:tabs>
        <w:spacing w:after="120"/>
        <w:ind w:left="851"/>
        <w:contextualSpacing w:val="0"/>
        <w:jc w:val="both"/>
      </w:pPr>
      <w:r>
        <w:t>Attestation de réussite de l’unité d’enseignement « Initiation aux soins infirmiers généraux et aux sciences fondamentales », code n° 821101U21D2, classée dans l’enseignement secondaire supérieur de transition.</w:t>
      </w:r>
    </w:p>
    <w:p>
      <w:pPr>
        <w:pStyle w:val="Paragraphedeliste"/>
        <w:tabs>
          <w:tab w:val="num" w:pos="1416"/>
        </w:tabs>
        <w:spacing w:after="120"/>
        <w:ind w:left="851"/>
        <w:contextualSpacing w:val="0"/>
        <w:jc w:val="both"/>
      </w:pPr>
    </w:p>
    <w:p>
      <w:pPr>
        <w:numPr>
          <w:ilvl w:val="0"/>
          <w:numId w:val="1"/>
        </w:numPr>
        <w:tabs>
          <w:tab w:val="num" w:pos="1416"/>
        </w:tabs>
        <w:spacing w:after="120"/>
        <w:ind w:left="357"/>
        <w:jc w:val="both"/>
        <w:rPr>
          <w:b/>
        </w:rPr>
      </w:pPr>
      <w:r>
        <w:rPr>
          <w:b/>
        </w:rPr>
        <w:t>ACQUIS D’APPRENTISSAGE</w:t>
      </w:r>
    </w:p>
    <w:p>
      <w:pPr>
        <w:spacing w:after="120"/>
        <w:ind w:left="426"/>
        <w:jc w:val="both"/>
        <w:rPr>
          <w:b/>
        </w:rPr>
      </w:pPr>
      <w:r>
        <w:rPr>
          <w:b/>
        </w:rPr>
        <w:t>Pour atteindre le seuil de réussite, l’étudiant sera capable :</w:t>
      </w:r>
    </w:p>
    <w:p>
      <w:pPr>
        <w:numPr>
          <w:ilvl w:val="0"/>
          <w:numId w:val="5"/>
        </w:numPr>
        <w:tabs>
          <w:tab w:val="num" w:pos="360"/>
          <w:tab w:val="num" w:pos="709"/>
        </w:tabs>
        <w:spacing w:after="120"/>
        <w:ind w:hanging="294"/>
        <w:jc w:val="both"/>
      </w:pPr>
      <w:r>
        <w:t>d’expliquer en termes scientifiques :</w:t>
      </w:r>
    </w:p>
    <w:p>
      <w:pPr>
        <w:numPr>
          <w:ilvl w:val="1"/>
          <w:numId w:val="7"/>
        </w:numPr>
        <w:tabs>
          <w:tab w:val="clear" w:pos="1080"/>
          <w:tab w:val="num" w:pos="993"/>
        </w:tabs>
        <w:spacing w:after="120"/>
        <w:ind w:left="993" w:hanging="284"/>
        <w:jc w:val="both"/>
      </w:pPr>
      <w:r>
        <w:t>les processus essentiels simples permettant l’adaptation et le maintien de la santé,</w:t>
      </w:r>
    </w:p>
    <w:p>
      <w:pPr>
        <w:numPr>
          <w:ilvl w:val="1"/>
          <w:numId w:val="7"/>
        </w:numPr>
        <w:tabs>
          <w:tab w:val="clear" w:pos="1080"/>
          <w:tab w:val="num" w:pos="993"/>
        </w:tabs>
        <w:spacing w:after="120"/>
        <w:ind w:left="993" w:hanging="284"/>
        <w:jc w:val="both"/>
      </w:pPr>
      <w:r>
        <w:t>les mécanismes immunologiques et infectieux liés à la bactériologie, à la virologie et à la parasitologie,</w:t>
      </w:r>
    </w:p>
    <w:p>
      <w:pPr>
        <w:numPr>
          <w:ilvl w:val="1"/>
          <w:numId w:val="7"/>
        </w:numPr>
        <w:tabs>
          <w:tab w:val="clear" w:pos="1080"/>
          <w:tab w:val="num" w:pos="993"/>
        </w:tabs>
        <w:spacing w:after="120"/>
        <w:ind w:left="993" w:hanging="284"/>
        <w:jc w:val="both"/>
      </w:pPr>
      <w:r>
        <w:t>les concepts de prévention et de prophylaxie ;</w:t>
      </w:r>
    </w:p>
    <w:p>
      <w:pPr>
        <w:numPr>
          <w:ilvl w:val="0"/>
          <w:numId w:val="5"/>
        </w:numPr>
        <w:tabs>
          <w:tab w:val="num" w:pos="360"/>
          <w:tab w:val="num" w:pos="709"/>
        </w:tabs>
        <w:spacing w:after="120"/>
        <w:ind w:hanging="294"/>
        <w:jc w:val="both"/>
      </w:pPr>
      <w:r>
        <w:t>de citer et d’expliquer les principes d’hygiène et d’asepsie mis en place pour lutter contre la propagation des agents infectieux ;</w:t>
      </w:r>
    </w:p>
    <w:p>
      <w:pPr>
        <w:numPr>
          <w:ilvl w:val="0"/>
          <w:numId w:val="5"/>
        </w:numPr>
        <w:tabs>
          <w:tab w:val="num" w:pos="360"/>
          <w:tab w:val="num" w:pos="709"/>
        </w:tabs>
        <w:spacing w:after="120"/>
        <w:ind w:hanging="294"/>
        <w:jc w:val="both"/>
      </w:pPr>
      <w:r>
        <w:t>de déterminer et d’expliciter l’incidence de la qualité de l’hygiène de vie et de l’environnement sur la santé des individus et des populations ;</w:t>
      </w:r>
    </w:p>
    <w:p>
      <w:pPr>
        <w:numPr>
          <w:ilvl w:val="0"/>
          <w:numId w:val="5"/>
        </w:numPr>
        <w:tabs>
          <w:tab w:val="num" w:pos="360"/>
          <w:tab w:val="num" w:pos="709"/>
        </w:tabs>
        <w:spacing w:after="120"/>
        <w:ind w:hanging="294"/>
        <w:jc w:val="both"/>
      </w:pPr>
      <w:r>
        <w:t>d’énumérer et d’expliciter les moyens de prévention à mettre en place pour éviter les infections nosocomiales et les autres risques professionnels ;</w:t>
      </w:r>
    </w:p>
    <w:p>
      <w:pPr>
        <w:numPr>
          <w:ilvl w:val="0"/>
          <w:numId w:val="5"/>
        </w:numPr>
        <w:tabs>
          <w:tab w:val="num" w:pos="360"/>
          <w:tab w:val="num" w:pos="709"/>
        </w:tabs>
        <w:spacing w:after="120"/>
        <w:ind w:hanging="294"/>
        <w:jc w:val="both"/>
      </w:pPr>
      <w:r>
        <w:t>de décrire les grandes classes pharmacologiques et leurs usages ;</w:t>
      </w:r>
    </w:p>
    <w:p>
      <w:pPr>
        <w:tabs>
          <w:tab w:val="num" w:pos="426"/>
        </w:tabs>
        <w:spacing w:after="120"/>
        <w:ind w:left="426"/>
        <w:jc w:val="both"/>
        <w:rPr>
          <w:i/>
        </w:rPr>
      </w:pPr>
      <w:r>
        <w:rPr>
          <w:i/>
        </w:rPr>
        <w:t>au départ d’une situation d’administration d’un médicament et en utilisant les outils adaptés</w:t>
      </w:r>
    </w:p>
    <w:p>
      <w:pPr>
        <w:numPr>
          <w:ilvl w:val="0"/>
          <w:numId w:val="5"/>
        </w:numPr>
        <w:tabs>
          <w:tab w:val="num" w:pos="360"/>
          <w:tab w:val="num" w:pos="709"/>
        </w:tabs>
        <w:spacing w:after="120"/>
        <w:ind w:hanging="294"/>
        <w:jc w:val="both"/>
      </w:pPr>
      <w:r>
        <w:t xml:space="preserve">de relever les éléments essentiels à extraire et à vérifier ; </w:t>
      </w:r>
    </w:p>
    <w:p>
      <w:pPr>
        <w:numPr>
          <w:ilvl w:val="0"/>
          <w:numId w:val="5"/>
        </w:numPr>
        <w:tabs>
          <w:tab w:val="num" w:pos="360"/>
          <w:tab w:val="num" w:pos="709"/>
        </w:tabs>
        <w:spacing w:after="120"/>
        <w:ind w:hanging="294"/>
        <w:jc w:val="both"/>
      </w:pPr>
      <w:r>
        <w:t>d’expliciter leur importance, les principes à respecter comme professionnel infirmier en lien avec la responsabilité qui en incombe.</w:t>
      </w:r>
    </w:p>
    <w:p>
      <w:pPr>
        <w:pStyle w:val="Retraitcorpsdetexte2"/>
        <w:spacing w:after="120"/>
        <w:rPr>
          <w:b/>
          <w:color w:val="000000"/>
        </w:rPr>
      </w:pPr>
      <w:r>
        <w:rPr>
          <w:b/>
          <w:color w:val="000000"/>
        </w:rPr>
        <w:t>Pour la détermination du degré de maîtrise, il sera tenu compte des critères suivants :</w:t>
      </w:r>
    </w:p>
    <w:p>
      <w:pPr>
        <w:numPr>
          <w:ilvl w:val="0"/>
          <w:numId w:val="8"/>
        </w:numPr>
        <w:shd w:val="clear" w:color="auto" w:fill="FFFFFF"/>
        <w:tabs>
          <w:tab w:val="num" w:pos="709"/>
        </w:tabs>
        <w:autoSpaceDE/>
        <w:autoSpaceDN/>
        <w:spacing w:before="120"/>
        <w:jc w:val="both"/>
        <w:rPr>
          <w:color w:val="000000"/>
        </w:rPr>
      </w:pPr>
      <w:r>
        <w:rPr>
          <w:color w:val="000000"/>
        </w:rPr>
        <w:t>le niveau de cohérence : la capacité à établir une majorité de liens logiques pour former un ensemble organisé ;</w:t>
      </w:r>
    </w:p>
    <w:p>
      <w:pPr>
        <w:numPr>
          <w:ilvl w:val="0"/>
          <w:numId w:val="8"/>
        </w:numPr>
        <w:shd w:val="clear" w:color="auto" w:fill="FFFFFF"/>
        <w:tabs>
          <w:tab w:val="num" w:pos="709"/>
        </w:tabs>
        <w:autoSpaceDE/>
        <w:autoSpaceDN/>
        <w:spacing w:before="120"/>
        <w:jc w:val="both"/>
        <w:rPr>
          <w:color w:val="000000"/>
        </w:rPr>
      </w:pPr>
      <w:r>
        <w:rPr>
          <w:color w:val="000000"/>
        </w:rPr>
        <w:t>le niveau de précision : la clarté, la concision, la rigueur au niveau de la terminologie, des concepts et des techniques/principes/modèles ;</w:t>
      </w:r>
    </w:p>
    <w:p>
      <w:pPr>
        <w:numPr>
          <w:ilvl w:val="0"/>
          <w:numId w:val="8"/>
        </w:numPr>
        <w:shd w:val="clear" w:color="auto" w:fill="FFFFFF"/>
        <w:tabs>
          <w:tab w:val="num" w:pos="709"/>
        </w:tabs>
        <w:autoSpaceDE/>
        <w:autoSpaceDN/>
        <w:spacing w:before="120"/>
        <w:jc w:val="both"/>
        <w:rPr>
          <w:color w:val="000000"/>
        </w:rPr>
      </w:pPr>
      <w:r>
        <w:rPr>
          <w:color w:val="000000"/>
        </w:rPr>
        <w:t>le niveau d’intégration : la capacité à s’approprier des notions, concepts, techniques et démarches en les intégrant dans son analyse, son argumentation, sa pratique ou la recherche de solutions ;</w:t>
      </w:r>
    </w:p>
    <w:p>
      <w:pPr>
        <w:numPr>
          <w:ilvl w:val="0"/>
          <w:numId w:val="8"/>
        </w:numPr>
        <w:shd w:val="clear" w:color="auto" w:fill="FFFFFF"/>
        <w:tabs>
          <w:tab w:val="num" w:pos="709"/>
        </w:tabs>
        <w:autoSpaceDE/>
        <w:autoSpaceDN/>
        <w:spacing w:before="120"/>
        <w:jc w:val="both"/>
        <w:rPr>
          <w:color w:val="000000"/>
        </w:rPr>
      </w:pPr>
      <w:r>
        <w:rPr>
          <w:color w:val="000000"/>
        </w:rPr>
        <w:t>le niveau d’autonomie : la capacité de faire preuve d’initiatives démontrant une réflexion personnelle basée sur une exploitation des ressources et des idées en interdépendance avec son environnement.</w:t>
      </w:r>
    </w:p>
    <w:p>
      <w:pPr>
        <w:autoSpaceDE/>
        <w:autoSpaceDN/>
        <w:spacing w:after="120"/>
        <w:ind w:left="720"/>
        <w:jc w:val="both"/>
      </w:pPr>
    </w:p>
    <w:p>
      <w:pPr>
        <w:numPr>
          <w:ilvl w:val="0"/>
          <w:numId w:val="1"/>
        </w:numPr>
        <w:tabs>
          <w:tab w:val="num" w:pos="1416"/>
        </w:tabs>
        <w:spacing w:after="120"/>
        <w:jc w:val="both"/>
        <w:rPr>
          <w:b/>
        </w:rPr>
      </w:pPr>
      <w:r>
        <w:rPr>
          <w:b/>
        </w:rPr>
        <w:t xml:space="preserve">PROGRAMME </w:t>
      </w:r>
    </w:p>
    <w:p>
      <w:pPr>
        <w:tabs>
          <w:tab w:val="left" w:pos="426"/>
        </w:tabs>
        <w:spacing w:after="120"/>
        <w:ind w:left="426"/>
        <w:jc w:val="both"/>
      </w:pPr>
      <w:r>
        <w:t>L’étudiant sera capable :</w:t>
      </w:r>
    </w:p>
    <w:p>
      <w:pPr>
        <w:tabs>
          <w:tab w:val="left" w:pos="426"/>
        </w:tabs>
        <w:spacing w:after="120"/>
        <w:ind w:left="426"/>
        <w:jc w:val="both"/>
        <w:rPr>
          <w:i/>
        </w:rPr>
      </w:pPr>
      <w:r>
        <w:rPr>
          <w:i/>
        </w:rPr>
        <w:t>au départ de situations fictives,</w:t>
      </w:r>
    </w:p>
    <w:p>
      <w:pPr>
        <w:pStyle w:val="Listepuces2"/>
        <w:numPr>
          <w:ilvl w:val="1"/>
          <w:numId w:val="6"/>
        </w:numPr>
        <w:tabs>
          <w:tab w:val="left" w:pos="993"/>
          <w:tab w:val="num" w:pos="4188"/>
        </w:tabs>
        <w:spacing w:before="0" w:after="120"/>
        <w:ind w:left="993" w:hanging="567"/>
        <w:jc w:val="both"/>
        <w:rPr>
          <w:b/>
        </w:rPr>
      </w:pPr>
      <w:r>
        <w:rPr>
          <w:b/>
        </w:rPr>
        <w:t>Bactériologie, virologie et parasitologie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décrire en termes scientifiques la structure des différents micro-organismes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d’expliquer leurs mode de développement, de transmission et d’action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lastRenderedPageBreak/>
        <w:t>d’expliciter les phénomènes d’infection et les mécanismes immunologiques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distinguer asepsie et antisepsie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d’expliciter les moyens de protection appropriés à mettre en œuvre pour empêcher la transmission des micro-organismes….</w:t>
      </w:r>
    </w:p>
    <w:p>
      <w:pPr>
        <w:pStyle w:val="Listepuces2"/>
        <w:numPr>
          <w:ilvl w:val="1"/>
          <w:numId w:val="6"/>
        </w:numPr>
        <w:tabs>
          <w:tab w:val="left" w:pos="993"/>
          <w:tab w:val="num" w:pos="4188"/>
        </w:tabs>
        <w:spacing w:before="0" w:after="120"/>
        <w:ind w:left="993" w:hanging="567"/>
        <w:jc w:val="both"/>
        <w:rPr>
          <w:b/>
        </w:rPr>
      </w:pPr>
      <w:r>
        <w:rPr>
          <w:b/>
        </w:rPr>
        <w:t>Etude de l’environnement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définir l’environnement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7" w:hanging="425"/>
        <w:jc w:val="both"/>
      </w:pPr>
      <w:r>
        <w:t>de citer les composants de l’air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citer les divers polluants et d’expliquer leurs effets nuisibles sur l’homme et l’environnement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d’argumenter l’importance du besoin en eau pour l’homme et la collectivité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proposer des moyens prophylactiques pour améliorer la qualité de l’eau et de l’air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définir la radiation ionisante et d’en cerner les dangers, et de décrire les moyens de radioprotection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d’expliciter la pollution par le bruit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définir les critères d’une bonne hygiène de l’homme et de son habitation.</w:t>
      </w:r>
    </w:p>
    <w:p>
      <w:pPr>
        <w:pStyle w:val="Listepuces2"/>
        <w:numPr>
          <w:ilvl w:val="1"/>
          <w:numId w:val="6"/>
        </w:numPr>
        <w:tabs>
          <w:tab w:val="left" w:pos="993"/>
          <w:tab w:val="num" w:pos="4188"/>
        </w:tabs>
        <w:spacing w:before="0" w:after="120"/>
        <w:ind w:left="993" w:hanging="567"/>
        <w:jc w:val="both"/>
        <w:rPr>
          <w:b/>
        </w:rPr>
      </w:pPr>
      <w:r>
        <w:rPr>
          <w:b/>
        </w:rPr>
        <w:t>Hygiène professionnelle et hospitalière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définir l’hygiène et l’hygiène professionnelle et leur représentation à travers les époques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d’expliquer les voies d’infection et d’identifier les agents contaminants et leurs réservoirs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d’expliquer les infections nosocomiales et les moyens de transmission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d’appliquer la notion d’hygiène :</w:t>
      </w:r>
    </w:p>
    <w:p>
      <w:pPr>
        <w:numPr>
          <w:ilvl w:val="1"/>
          <w:numId w:val="7"/>
        </w:numPr>
        <w:tabs>
          <w:tab w:val="clear" w:pos="1080"/>
          <w:tab w:val="num" w:pos="1418"/>
          <w:tab w:val="num" w:pos="1701"/>
        </w:tabs>
        <w:spacing w:after="120"/>
        <w:ind w:left="1702" w:hanging="284"/>
        <w:jc w:val="both"/>
      </w:pPr>
      <w:r>
        <w:t>pour lutter contre les infections hospitalières,</w:t>
      </w:r>
    </w:p>
    <w:p>
      <w:pPr>
        <w:numPr>
          <w:ilvl w:val="1"/>
          <w:numId w:val="7"/>
        </w:numPr>
        <w:tabs>
          <w:tab w:val="clear" w:pos="1080"/>
          <w:tab w:val="num" w:pos="1418"/>
          <w:tab w:val="num" w:pos="1701"/>
        </w:tabs>
        <w:spacing w:after="120"/>
        <w:ind w:left="1702" w:hanging="284"/>
        <w:jc w:val="both"/>
      </w:pPr>
      <w:r>
        <w:t>pour préserver la santé des bénéficiaires de soins et du personnel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caractériser l’élimination des déchets de soins.</w:t>
      </w:r>
    </w:p>
    <w:p>
      <w:pPr>
        <w:pStyle w:val="Listepuces2"/>
        <w:numPr>
          <w:ilvl w:val="1"/>
          <w:numId w:val="6"/>
        </w:numPr>
        <w:tabs>
          <w:tab w:val="left" w:pos="993"/>
          <w:tab w:val="num" w:pos="4188"/>
        </w:tabs>
        <w:spacing w:before="0" w:after="120"/>
        <w:ind w:left="993" w:hanging="567"/>
        <w:jc w:val="both"/>
        <w:rPr>
          <w:b/>
        </w:rPr>
      </w:pPr>
      <w:r>
        <w:rPr>
          <w:b/>
        </w:rPr>
        <w:t>Pharmacologie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définir le médicament, son origine, le concept de principe actif, la notion d’excipient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caractériser l’importance de la posologie, la nécessité de la vérifier avant l’administration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définir les classes pharmaceutiques et les formes galéniques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compulser une notice, le compendium, afin :</w:t>
      </w:r>
    </w:p>
    <w:p>
      <w:pPr>
        <w:numPr>
          <w:ilvl w:val="1"/>
          <w:numId w:val="7"/>
        </w:numPr>
        <w:tabs>
          <w:tab w:val="clear" w:pos="1080"/>
          <w:tab w:val="num" w:pos="1418"/>
          <w:tab w:val="num" w:pos="1701"/>
        </w:tabs>
        <w:spacing w:after="120"/>
        <w:ind w:left="1702" w:hanging="284"/>
        <w:jc w:val="both"/>
      </w:pPr>
      <w:r>
        <w:t>d’en extraire les indications, le but, l’action,</w:t>
      </w:r>
    </w:p>
    <w:p>
      <w:pPr>
        <w:numPr>
          <w:ilvl w:val="1"/>
          <w:numId w:val="7"/>
        </w:numPr>
        <w:tabs>
          <w:tab w:val="clear" w:pos="1080"/>
          <w:tab w:val="num" w:pos="1418"/>
          <w:tab w:val="num" w:pos="1701"/>
        </w:tabs>
        <w:spacing w:after="120"/>
        <w:ind w:left="1702" w:hanging="284"/>
        <w:jc w:val="both"/>
      </w:pPr>
      <w:r>
        <w:t>d’en vérifier la posologie, la voie et le mode d’administration, le dosage, les précautions d’emploi, les effets secondaires, la validité, la conservation, la phase pharmacocinétique et la phase pharmacodynamique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d’identifier les effets des médicaments (attendus ou non)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d’illustrer la responsabilité de l’infirmier face à l’administration des médicaments.</w:t>
      </w:r>
    </w:p>
    <w:p>
      <w:pPr>
        <w:autoSpaceDE/>
        <w:autoSpaceDN/>
        <w:spacing w:after="200" w:line="276" w:lineRule="auto"/>
      </w:pPr>
      <w:r>
        <w:br w:type="page"/>
      </w:r>
    </w:p>
    <w:p>
      <w:pPr>
        <w:pStyle w:val="Listepuces2"/>
        <w:numPr>
          <w:ilvl w:val="1"/>
          <w:numId w:val="6"/>
        </w:numPr>
        <w:tabs>
          <w:tab w:val="left" w:pos="993"/>
          <w:tab w:val="num" w:pos="4188"/>
        </w:tabs>
        <w:spacing w:before="0" w:after="120"/>
        <w:ind w:left="993" w:hanging="567"/>
        <w:jc w:val="both"/>
        <w:rPr>
          <w:b/>
        </w:rPr>
      </w:pPr>
      <w:r>
        <w:rPr>
          <w:b/>
        </w:rPr>
        <w:lastRenderedPageBreak/>
        <w:t>Prévention - prophylaxie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d’établir les relations d’interdépendance qui existent entre « individu », « environnement », « santé », « société »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d’expliciter les risques spécifiques liés au milieu hospitalier (maladies et risques professionnels) ;</w:t>
      </w:r>
    </w:p>
    <w:p>
      <w:pPr>
        <w:numPr>
          <w:ilvl w:val="0"/>
          <w:numId w:val="5"/>
        </w:numPr>
        <w:tabs>
          <w:tab w:val="num" w:pos="1418"/>
        </w:tabs>
        <w:spacing w:after="120"/>
        <w:ind w:left="1418" w:hanging="425"/>
        <w:jc w:val="both"/>
      </w:pPr>
      <w:r>
        <w:t>de définir les concepts de prévention et de prophylaxie, leurs objectifs et champs d’activité.</w:t>
      </w:r>
    </w:p>
    <w:p>
      <w:pPr>
        <w:tabs>
          <w:tab w:val="num" w:pos="1416"/>
        </w:tabs>
        <w:spacing w:after="120"/>
        <w:ind w:left="360"/>
        <w:jc w:val="both"/>
        <w:rPr>
          <w:b/>
        </w:rPr>
      </w:pPr>
    </w:p>
    <w:p>
      <w:pPr>
        <w:numPr>
          <w:ilvl w:val="0"/>
          <w:numId w:val="1"/>
        </w:numPr>
        <w:tabs>
          <w:tab w:val="num" w:pos="1416"/>
        </w:tabs>
        <w:spacing w:after="120"/>
        <w:jc w:val="both"/>
        <w:rPr>
          <w:b/>
        </w:rPr>
      </w:pPr>
      <w:r>
        <w:rPr>
          <w:b/>
        </w:rPr>
        <w:t>CONSTITUTION DES GROUPES OU REGROUPEMENT</w:t>
      </w:r>
    </w:p>
    <w:p>
      <w:pPr>
        <w:tabs>
          <w:tab w:val="num" w:pos="1416"/>
        </w:tabs>
        <w:spacing w:after="120"/>
        <w:ind w:left="360"/>
        <w:jc w:val="both"/>
      </w:pPr>
      <w:r>
        <w:t>Aucune recommandation particulière</w:t>
      </w:r>
    </w:p>
    <w:p>
      <w:pPr>
        <w:tabs>
          <w:tab w:val="num" w:pos="1416"/>
        </w:tabs>
        <w:spacing w:after="120"/>
        <w:ind w:left="360"/>
        <w:jc w:val="both"/>
      </w:pPr>
    </w:p>
    <w:p>
      <w:pPr>
        <w:numPr>
          <w:ilvl w:val="0"/>
          <w:numId w:val="1"/>
        </w:numPr>
        <w:tabs>
          <w:tab w:val="num" w:pos="1416"/>
        </w:tabs>
        <w:spacing w:after="120"/>
        <w:jc w:val="both"/>
        <w:rPr>
          <w:b/>
        </w:rPr>
      </w:pPr>
      <w:r>
        <w:rPr>
          <w:b/>
        </w:rPr>
        <w:t>CHARGE(S) DE COURS</w:t>
      </w:r>
    </w:p>
    <w:p>
      <w:pPr>
        <w:pStyle w:val="Paragraphedeliste"/>
        <w:spacing w:after="120"/>
        <w:ind w:left="360"/>
        <w:contextualSpacing w:val="0"/>
        <w:jc w:val="both"/>
        <w:rPr>
          <w:color w:val="000000"/>
        </w:rPr>
      </w:pPr>
      <w:r>
        <w:rPr>
          <w:color w:val="000000"/>
        </w:rPr>
        <w:t>Le chargé de cours sera un enseignant ou un expert.</w:t>
      </w:r>
    </w:p>
    <w:p>
      <w:pPr>
        <w:pStyle w:val="Paragraphedeliste"/>
        <w:spacing w:after="120"/>
        <w:ind w:left="360"/>
        <w:contextualSpacing w:val="0"/>
        <w:jc w:val="both"/>
      </w:pPr>
      <w:r>
        <w:rPr>
          <w:color w:val="000000"/>
        </w:rPr>
        <w:t>L’expert devra</w:t>
      </w:r>
      <w:r>
        <w:t xml:space="preserve"> justifier de compétences particulières issues d’une expérience professionnelle actualisée en relation avec le programme du présent dossier pédagogique.</w:t>
      </w:r>
    </w:p>
    <w:p>
      <w:pPr>
        <w:autoSpaceDE/>
        <w:autoSpaceDN/>
        <w:spacing w:after="200" w:line="276" w:lineRule="auto"/>
        <w:rPr>
          <w:b/>
        </w:rPr>
      </w:pPr>
    </w:p>
    <w:p>
      <w:pPr>
        <w:numPr>
          <w:ilvl w:val="0"/>
          <w:numId w:val="1"/>
        </w:numPr>
        <w:tabs>
          <w:tab w:val="num" w:pos="1416"/>
        </w:tabs>
        <w:spacing w:after="120"/>
        <w:jc w:val="both"/>
        <w:rPr>
          <w:b/>
        </w:rPr>
      </w:pPr>
      <w:r>
        <w:rPr>
          <w:b/>
        </w:rPr>
        <w:t>HORAIRE MINIMUM DE L’UNITE D’ENSEIGNEMENT</w:t>
      </w:r>
    </w:p>
    <w:p>
      <w:pPr>
        <w:tabs>
          <w:tab w:val="num" w:pos="1416"/>
        </w:tabs>
        <w:spacing w:after="120"/>
        <w:ind w:left="360"/>
        <w:jc w:val="both"/>
        <w:rPr>
          <w:b/>
        </w:rPr>
      </w:pPr>
    </w:p>
    <w:tbl>
      <w:tblPr>
        <w:tblW w:w="8859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701"/>
        <w:gridCol w:w="1701"/>
      </w:tblGrid>
      <w:tr>
        <w:tc>
          <w:tcPr>
            <w:tcW w:w="3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</w:rPr>
            </w:pPr>
            <w:r>
              <w:rPr>
                <w:b/>
              </w:rPr>
              <w:t>7.1. Dénomination des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>
            <w:pPr>
              <w:jc w:val="center"/>
            </w:pPr>
            <w:r>
              <w:t>Nombre de périodes</w:t>
            </w:r>
          </w:p>
        </w:tc>
      </w:tr>
      <w:tr>
        <w:tc>
          <w:tcPr>
            <w:tcW w:w="3756" w:type="dxa"/>
            <w:tcBorders>
              <w:top w:val="nil"/>
              <w:left w:val="single" w:sz="18" w:space="0" w:color="auto"/>
            </w:tcBorders>
          </w:tcPr>
          <w:p>
            <w:pPr>
              <w:pStyle w:val="Notedebasdepage"/>
            </w:pPr>
            <w:r>
              <w:t>Bactériologie, virologie et parasitologie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tabs>
                <w:tab w:val="left" w:pos="1130"/>
              </w:tabs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>
        <w:tc>
          <w:tcPr>
            <w:tcW w:w="3756" w:type="dxa"/>
            <w:tcBorders>
              <w:top w:val="nil"/>
              <w:left w:val="single" w:sz="18" w:space="0" w:color="auto"/>
            </w:tcBorders>
          </w:tcPr>
          <w:p>
            <w:pPr>
              <w:pStyle w:val="Notedebasdepage"/>
            </w:pPr>
            <w:r>
              <w:t>Etude de l’environnement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c>
          <w:tcPr>
            <w:tcW w:w="3756" w:type="dxa"/>
            <w:tcBorders>
              <w:top w:val="nil"/>
              <w:left w:val="single" w:sz="18" w:space="0" w:color="auto"/>
            </w:tcBorders>
          </w:tcPr>
          <w:p>
            <w:pPr>
              <w:pStyle w:val="Notedebasdepage"/>
            </w:pPr>
            <w:r>
              <w:t>Hygiène professionnelle et hospitalière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>
        <w:tc>
          <w:tcPr>
            <w:tcW w:w="3756" w:type="dxa"/>
            <w:tcBorders>
              <w:top w:val="nil"/>
              <w:left w:val="single" w:sz="18" w:space="0" w:color="auto"/>
            </w:tcBorders>
          </w:tcPr>
          <w:p>
            <w:pPr>
              <w:pStyle w:val="Notedebasdepage"/>
            </w:pPr>
            <w:r>
              <w:t>Pharmacologie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CT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c>
          <w:tcPr>
            <w:tcW w:w="3756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>
            <w:pPr>
              <w:pStyle w:val="Notedebasdepage"/>
            </w:pPr>
            <w:r>
              <w:t>Prévention - prophylaxie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>
            <w:pPr>
              <w:tabs>
                <w:tab w:val="left" w:pos="1130"/>
              </w:tabs>
              <w:ind w:right="-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701" w:type="dxa"/>
            <w:tcBorders>
              <w:top w:val="nil"/>
              <w:right w:val="single" w:sz="18" w:space="0" w:color="auto"/>
            </w:tcBorders>
          </w:tcPr>
          <w:p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>
        <w:tc>
          <w:tcPr>
            <w:tcW w:w="5457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</w:tcBorders>
          </w:tcPr>
          <w:p>
            <w:pPr>
              <w:ind w:left="426"/>
              <w:rPr>
                <w:b/>
              </w:rPr>
            </w:pPr>
            <w:r>
              <w:rPr>
                <w:b/>
              </w:rPr>
              <w:t>7.2. Part d’autonomie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>
            <w:pPr>
              <w:jc w:val="center"/>
            </w:pPr>
            <w:r>
              <w:t>P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>
            <w:pPr>
              <w:ind w:right="-70"/>
              <w:jc w:val="center"/>
              <w:rPr>
                <w:b/>
              </w:rPr>
            </w:pPr>
            <w:r>
              <w:t>26</w:t>
            </w:r>
          </w:p>
        </w:tc>
      </w:tr>
      <w:tr>
        <w:tc>
          <w:tcPr>
            <w:tcW w:w="545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>
            <w: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ind w:right="-70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</w:tbl>
    <w:p>
      <w:pPr>
        <w:tabs>
          <w:tab w:val="left" w:pos="1448"/>
        </w:tabs>
      </w:pPr>
    </w:p>
    <w:sectPr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right"/>
      <w:rPr>
        <w:color w:val="002060"/>
        <w:sz w:val="18"/>
        <w:szCs w:val="18"/>
      </w:rPr>
    </w:pPr>
  </w:p>
  <w:p>
    <w:pPr>
      <w:pStyle w:val="Pieddepage"/>
      <w:jc w:val="right"/>
      <w:rPr>
        <w:color w:val="002060"/>
        <w:sz w:val="18"/>
        <w:szCs w:val="18"/>
      </w:rPr>
    </w:pPr>
    <w:r>
      <w:rPr>
        <w:color w:val="002060"/>
        <w:sz w:val="18"/>
        <w:szCs w:val="18"/>
      </w:rPr>
      <w:t>Bases en sciences fondamentales</w:t>
    </w:r>
    <w:r>
      <w:rPr>
        <w:color w:val="002060"/>
        <w:sz w:val="18"/>
        <w:szCs w:val="18"/>
      </w:rPr>
      <w:tab/>
    </w:r>
    <w:r>
      <w:rPr>
        <w:color w:val="002060"/>
        <w:sz w:val="18"/>
        <w:szCs w:val="18"/>
      </w:rPr>
      <w:tab/>
    </w:r>
    <w:sdt>
      <w:sdtPr>
        <w:rPr>
          <w:color w:val="002060"/>
          <w:sz w:val="18"/>
          <w:szCs w:val="18"/>
        </w:rPr>
        <w:id w:val="-1835831389"/>
        <w:docPartObj>
          <w:docPartGallery w:val="Page Numbers (Bottom of Page)"/>
          <w:docPartUnique/>
        </w:docPartObj>
      </w:sdtPr>
      <w:sdtContent>
        <w:sdt>
          <w:sdtPr>
            <w:rPr>
              <w:color w:val="002060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color w:val="002060"/>
                <w:sz w:val="18"/>
                <w:szCs w:val="18"/>
              </w:rPr>
              <w:t xml:space="preserve">Page </w:t>
            </w:r>
            <w:r>
              <w:rPr>
                <w:bCs/>
                <w:color w:val="002060"/>
                <w:sz w:val="18"/>
                <w:szCs w:val="18"/>
              </w:rPr>
              <w:fldChar w:fldCharType="begin"/>
            </w:r>
            <w:r>
              <w:rPr>
                <w:bCs/>
                <w:color w:val="002060"/>
                <w:sz w:val="18"/>
                <w:szCs w:val="18"/>
              </w:rPr>
              <w:instrText>PAGE</w:instrText>
            </w:r>
            <w:r>
              <w:rPr>
                <w:bCs/>
                <w:color w:val="00206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2060"/>
                <w:sz w:val="18"/>
                <w:szCs w:val="18"/>
              </w:rPr>
              <w:t>2</w:t>
            </w:r>
            <w:r>
              <w:rPr>
                <w:bCs/>
                <w:color w:val="002060"/>
                <w:sz w:val="18"/>
                <w:szCs w:val="18"/>
              </w:rPr>
              <w:fldChar w:fldCharType="end"/>
            </w:r>
            <w:r>
              <w:rPr>
                <w:color w:val="002060"/>
                <w:sz w:val="18"/>
                <w:szCs w:val="18"/>
              </w:rPr>
              <w:t xml:space="preserve"> sur </w:t>
            </w:r>
            <w:r>
              <w:rPr>
                <w:bCs/>
                <w:color w:val="002060"/>
                <w:sz w:val="18"/>
                <w:szCs w:val="18"/>
              </w:rPr>
              <w:fldChar w:fldCharType="begin"/>
            </w:r>
            <w:r>
              <w:rPr>
                <w:bCs/>
                <w:color w:val="002060"/>
                <w:sz w:val="18"/>
                <w:szCs w:val="18"/>
              </w:rPr>
              <w:instrText>NUMPAGES</w:instrText>
            </w:r>
            <w:r>
              <w:rPr>
                <w:bCs/>
                <w:color w:val="00206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2060"/>
                <w:sz w:val="18"/>
                <w:szCs w:val="18"/>
              </w:rPr>
              <w:t>5</w:t>
            </w:r>
            <w:r>
              <w:rPr>
                <w:bCs/>
                <w:color w:val="002060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E8A97CA"/>
    <w:lvl w:ilvl="0">
      <w:start w:val="1"/>
      <w:numFmt w:val="bullet"/>
      <w:pStyle w:val="Listepuces2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10A83453"/>
    <w:multiLevelType w:val="hybridMultilevel"/>
    <w:tmpl w:val="290E4666"/>
    <w:lvl w:ilvl="0" w:tplc="6A3630FA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4"/>
      </w:rPr>
    </w:lvl>
    <w:lvl w:ilvl="2" w:tplc="08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CC5756"/>
    <w:multiLevelType w:val="hybridMultilevel"/>
    <w:tmpl w:val="99F03ABC"/>
    <w:lvl w:ilvl="0" w:tplc="6A3630FA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66EDC"/>
    <w:multiLevelType w:val="hybridMultilevel"/>
    <w:tmpl w:val="560EB640"/>
    <w:lvl w:ilvl="0" w:tplc="FE9417CC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46"/>
        </w:tabs>
        <w:ind w:left="24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66"/>
        </w:tabs>
        <w:ind w:left="3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86"/>
        </w:tabs>
        <w:ind w:left="3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06"/>
        </w:tabs>
        <w:ind w:left="46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26"/>
        </w:tabs>
        <w:ind w:left="5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46"/>
        </w:tabs>
        <w:ind w:left="6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66"/>
        </w:tabs>
        <w:ind w:left="67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86"/>
        </w:tabs>
        <w:ind w:left="7486" w:hanging="360"/>
      </w:pPr>
      <w:rPr>
        <w:rFonts w:ascii="Wingdings" w:hAnsi="Wingdings" w:hint="default"/>
      </w:rPr>
    </w:lvl>
  </w:abstractNum>
  <w:abstractNum w:abstractNumId="4" w15:restartNumberingAfterBreak="0">
    <w:nsid w:val="357327F6"/>
    <w:multiLevelType w:val="hybridMultilevel"/>
    <w:tmpl w:val="7FF69D6C"/>
    <w:lvl w:ilvl="0" w:tplc="6A3630FA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42904E45"/>
    <w:multiLevelType w:val="hybridMultilevel"/>
    <w:tmpl w:val="0082C526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542B5"/>
    <w:multiLevelType w:val="hybridMultilevel"/>
    <w:tmpl w:val="D42E6172"/>
    <w:lvl w:ilvl="0" w:tplc="FFFFFFFF">
      <w:numFmt w:val="bullet"/>
      <w:lvlText w:val="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1" w:tplc="FFFFFFF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 w15:restartNumberingAfterBreak="0">
    <w:nsid w:val="6E9C149D"/>
    <w:multiLevelType w:val="multilevel"/>
    <w:tmpl w:val="783629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7EE72CB6"/>
    <w:multiLevelType w:val="multilevel"/>
    <w:tmpl w:val="C1880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B16784-74FE-4446-A206-6302DBB0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Titre8">
    <w:name w:val="heading 8"/>
    <w:basedOn w:val="Normal"/>
    <w:next w:val="Normal"/>
    <w:link w:val="Titre8Car"/>
    <w:unhideWhenUsed/>
    <w:qFormat/>
    <w:pPr>
      <w:keepNext/>
      <w:spacing w:before="120" w:after="120"/>
      <w:jc w:val="center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Pr>
      <w:rFonts w:ascii="Times New Roman" w:eastAsia="Times New Roman" w:hAnsi="Times New Roman" w:cs="Times New Roman"/>
      <w:b/>
      <w:lang w:val="fr-FR" w:eastAsia="fr-FR"/>
    </w:rPr>
  </w:style>
  <w:style w:type="paragraph" w:styleId="Retraitcorpsdetexte2">
    <w:name w:val="Body Text Indent 2"/>
    <w:basedOn w:val="Normal"/>
    <w:link w:val="Retraitcorpsdetexte2Car"/>
    <w:unhideWhenUsed/>
    <w:pPr>
      <w:ind w:left="426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rPr>
      <w:rFonts w:ascii="Times New Roman" w:eastAsia="Times New Roman" w:hAnsi="Times New Roman" w:cs="Times New Roman"/>
      <w:lang w:val="fr-FR" w:eastAsia="fr-FR"/>
    </w:rPr>
  </w:style>
  <w:style w:type="paragraph" w:styleId="Notedebasdepage">
    <w:name w:val="footnote text"/>
    <w:basedOn w:val="Normal"/>
    <w:link w:val="NotedebasdepageCar"/>
    <w:semiHidden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Listepuces2">
    <w:name w:val="List Bullet 2"/>
    <w:basedOn w:val="Normal"/>
    <w:semiHidden/>
    <w:pPr>
      <w:numPr>
        <w:numId w:val="4"/>
      </w:numPr>
      <w:autoSpaceDE/>
      <w:autoSpaceDN/>
      <w:spacing w:before="120"/>
    </w:pPr>
  </w:style>
  <w:style w:type="character" w:styleId="Marquedecommentaire">
    <w:name w:val="annotation reference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03FB-67B2-479F-8313-E25A05E5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1262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goulet02</cp:lastModifiedBy>
  <cp:revision>11</cp:revision>
  <dcterms:created xsi:type="dcterms:W3CDTF">2017-01-10T10:21:00Z</dcterms:created>
  <dcterms:modified xsi:type="dcterms:W3CDTF">2017-08-23T08:46:00Z</dcterms:modified>
</cp:coreProperties>
</file>