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RELATION SOIGNANT/SOIGNE</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821113U21D2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r>
        <w:rPr>
          <w:b/>
        </w:rPr>
        <w:t>,</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spacing w:line="276" w:lineRule="auto"/>
              <w:jc w:val="center"/>
              <w:rPr>
                <w:b/>
              </w:rPr>
            </w:pPr>
            <w:r>
              <w:rPr>
                <w:b/>
              </w:rPr>
              <w:t>RELATION SOIGNANT/SOIGNE</w:t>
            </w:r>
          </w:p>
          <w:p>
            <w:pPr>
              <w:spacing w:line="276" w:lineRule="auto"/>
              <w:jc w:val="center"/>
              <w:rPr>
                <w:b/>
              </w:rPr>
            </w:pPr>
          </w:p>
          <w:p>
            <w:pPr>
              <w:spacing w:line="276" w:lineRule="auto"/>
              <w:jc w:val="center"/>
              <w:rPr>
                <w:b/>
                <w:caps/>
              </w:rPr>
            </w:pPr>
            <w:r>
              <w:rPr>
                <w:b/>
              </w:rPr>
              <w:t xml:space="preserve">ENSEIGNEMENT SECONDAIRE SUPERIEUR DE TRANSITION </w:t>
            </w:r>
          </w:p>
          <w:p>
            <w:pPr>
              <w:spacing w:line="276" w:lineRule="auto"/>
              <w:jc w:val="center"/>
              <w:rPr>
                <w:b/>
              </w:rPr>
            </w:pPr>
          </w:p>
        </w:tc>
      </w:tr>
    </w:tbl>
    <w:p>
      <w:pPr>
        <w:numPr>
          <w:ilvl w:val="0"/>
          <w:numId w:val="2"/>
        </w:numPr>
        <w:tabs>
          <w:tab w:val="num" w:pos="1416"/>
        </w:tabs>
        <w:spacing w:before="120" w:after="120"/>
        <w:ind w:left="357" w:hanging="357"/>
        <w:jc w:val="both"/>
        <w:rPr>
          <w:b/>
        </w:rPr>
      </w:pPr>
      <w:r>
        <w:rPr>
          <w:b/>
        </w:rPr>
        <w:t>FINALITES DE L’UNITE D’ENSEIGNEMENT</w:t>
      </w:r>
    </w:p>
    <w:p>
      <w:pPr>
        <w:numPr>
          <w:ilvl w:val="1"/>
          <w:numId w:val="2"/>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3"/>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3"/>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2"/>
        </w:numPr>
        <w:tabs>
          <w:tab w:val="left" w:pos="851"/>
        </w:tabs>
        <w:spacing w:after="120"/>
        <w:ind w:left="851" w:hanging="425"/>
        <w:jc w:val="both"/>
        <w:rPr>
          <w:b/>
        </w:rPr>
      </w:pPr>
      <w:r>
        <w:rPr>
          <w:b/>
        </w:rPr>
        <w:t>Finalités particulières</w:t>
      </w:r>
    </w:p>
    <w:p>
      <w:pPr>
        <w:tabs>
          <w:tab w:val="left" w:pos="851"/>
        </w:tabs>
        <w:spacing w:after="120"/>
        <w:ind w:left="851"/>
        <w:jc w:val="both"/>
      </w:pPr>
      <w:r>
        <w:t>Cette unité d’enseignement vise à permettre à l’étudiant :</w:t>
      </w:r>
    </w:p>
    <w:p>
      <w:pPr>
        <w:pStyle w:val="Paragraphedeliste"/>
        <w:numPr>
          <w:ilvl w:val="0"/>
          <w:numId w:val="16"/>
        </w:numPr>
        <w:tabs>
          <w:tab w:val="left" w:pos="851"/>
        </w:tabs>
        <w:spacing w:after="120"/>
        <w:contextualSpacing w:val="0"/>
        <w:jc w:val="both"/>
      </w:pPr>
      <w:r>
        <w:t xml:space="preserve">d’établir une relation soignant/soigné avec un bénéficiaire dans un contexte de soins, et notamment pour des bénéficiaires présentant des troubles psychologiques du fonctionnement ; </w:t>
      </w:r>
    </w:p>
    <w:p>
      <w:pPr>
        <w:pStyle w:val="Paragraphedeliste"/>
        <w:numPr>
          <w:ilvl w:val="0"/>
          <w:numId w:val="16"/>
        </w:numPr>
        <w:tabs>
          <w:tab w:val="left" w:pos="851"/>
        </w:tabs>
        <w:spacing w:after="120"/>
        <w:contextualSpacing w:val="0"/>
        <w:jc w:val="both"/>
      </w:pPr>
      <w:r>
        <w:t>d’adapter ses attitudes d’écoute auprès des bénéficiaires de soins ;</w:t>
      </w:r>
    </w:p>
    <w:p>
      <w:pPr>
        <w:pStyle w:val="Paragraphedeliste"/>
        <w:numPr>
          <w:ilvl w:val="0"/>
          <w:numId w:val="16"/>
        </w:numPr>
        <w:tabs>
          <w:tab w:val="left" w:pos="851"/>
        </w:tabs>
        <w:spacing w:after="120"/>
        <w:contextualSpacing w:val="0"/>
        <w:jc w:val="both"/>
      </w:pPr>
      <w:r>
        <w:t>d’appréhender les concepts psychologiques de troubles fonctionnels de la personnalité ;</w:t>
      </w:r>
    </w:p>
    <w:p>
      <w:pPr>
        <w:tabs>
          <w:tab w:val="left" w:pos="851"/>
        </w:tabs>
        <w:spacing w:after="120"/>
        <w:ind w:left="851"/>
        <w:jc w:val="both"/>
      </w:pPr>
      <w:r>
        <w:t>Cette unité d’enseignement vise également à permettre à l’étudiant, dans un contexte de soins, d’établir une relation éducative soit avec un bénéficiaire de soins et son entourage, soit avec des collègues et/ou des étudiants :</w:t>
      </w:r>
    </w:p>
    <w:p>
      <w:pPr>
        <w:pStyle w:val="Paragraphedeliste"/>
        <w:numPr>
          <w:ilvl w:val="0"/>
          <w:numId w:val="16"/>
        </w:numPr>
        <w:tabs>
          <w:tab w:val="left" w:pos="851"/>
        </w:tabs>
        <w:spacing w:after="120"/>
        <w:contextualSpacing w:val="0"/>
        <w:jc w:val="both"/>
      </w:pPr>
      <w:r>
        <w:t>en identifiant des stratégies éducatives visant l’autonomisation de la personne dans un domaine des soins de santé ;</w:t>
      </w:r>
    </w:p>
    <w:p>
      <w:pPr>
        <w:pStyle w:val="Paragraphedeliste"/>
        <w:numPr>
          <w:ilvl w:val="0"/>
          <w:numId w:val="16"/>
        </w:numPr>
        <w:tabs>
          <w:tab w:val="left" w:pos="851"/>
        </w:tabs>
        <w:spacing w:after="120"/>
        <w:contextualSpacing w:val="0"/>
        <w:jc w:val="both"/>
      </w:pPr>
      <w:r>
        <w:t xml:space="preserve">en élaborant un projet d'éducation à la santé s'adressant à un groupe cible. </w:t>
      </w:r>
    </w:p>
    <w:p>
      <w:pPr>
        <w:tabs>
          <w:tab w:val="left" w:pos="851"/>
        </w:tabs>
        <w:spacing w:after="120"/>
        <w:jc w:val="both"/>
        <w:rPr>
          <w:b/>
        </w:rPr>
      </w:pPr>
    </w:p>
    <w:p>
      <w:pPr>
        <w:numPr>
          <w:ilvl w:val="0"/>
          <w:numId w:val="2"/>
        </w:numPr>
        <w:tabs>
          <w:tab w:val="num" w:pos="1416"/>
        </w:tabs>
        <w:spacing w:after="120"/>
        <w:jc w:val="both"/>
        <w:rPr>
          <w:b/>
        </w:rPr>
      </w:pPr>
      <w:r>
        <w:rPr>
          <w:b/>
        </w:rPr>
        <w:t>CAPACITES PREALABLES REQUISES</w:t>
      </w:r>
    </w:p>
    <w:p>
      <w:pPr>
        <w:tabs>
          <w:tab w:val="num" w:pos="851"/>
        </w:tabs>
        <w:spacing w:after="120"/>
        <w:ind w:left="360"/>
        <w:jc w:val="both"/>
        <w:rPr>
          <w:b/>
        </w:rPr>
      </w:pPr>
      <w:r>
        <w:rPr>
          <w:b/>
        </w:rPr>
        <w:t>2.1.</w:t>
      </w:r>
      <w:r>
        <w:rPr>
          <w:b/>
        </w:rPr>
        <w:tab/>
        <w:t>Capacités</w:t>
      </w:r>
    </w:p>
    <w:p>
      <w:pPr>
        <w:spacing w:after="120"/>
        <w:ind w:left="851"/>
        <w:jc w:val="both"/>
        <w:rPr>
          <w:b/>
        </w:rPr>
      </w:pPr>
      <w:r>
        <w:rPr>
          <w:b/>
        </w:rPr>
        <w:t>En initiation à la relation soignant/soigné</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de situations fictives de prises en soins d’un bénéficiaire adulte, d’un enfant, d’une personne âgée, et en utilisant le vocabulaire adéquat,</w:t>
      </w:r>
    </w:p>
    <w:p>
      <w:pPr>
        <w:pStyle w:val="Paragraphedeliste"/>
        <w:numPr>
          <w:ilvl w:val="0"/>
          <w:numId w:val="16"/>
        </w:numPr>
        <w:tabs>
          <w:tab w:val="left" w:pos="851"/>
        </w:tabs>
        <w:spacing w:after="120"/>
        <w:contextualSpacing w:val="0"/>
        <w:jc w:val="both"/>
        <w:rPr>
          <w:bCs/>
          <w:color w:val="000000"/>
        </w:rPr>
      </w:pPr>
      <w:r>
        <w:rPr>
          <w:bCs/>
          <w:color w:val="000000"/>
        </w:rPr>
        <w:t>caractériser du point de vue psychologique la relation observée entre un bénéficiaire de soins et un soignant ;</w:t>
      </w:r>
    </w:p>
    <w:p>
      <w:pPr>
        <w:pStyle w:val="Paragraphedeliste"/>
        <w:numPr>
          <w:ilvl w:val="0"/>
          <w:numId w:val="16"/>
        </w:numPr>
        <w:tabs>
          <w:tab w:val="left" w:pos="851"/>
        </w:tabs>
        <w:spacing w:after="120"/>
        <w:contextualSpacing w:val="0"/>
        <w:jc w:val="both"/>
        <w:rPr>
          <w:bCs/>
          <w:i/>
          <w:color w:val="000000"/>
        </w:rPr>
      </w:pPr>
      <w:r>
        <w:rPr>
          <w:bCs/>
          <w:color w:val="000000"/>
        </w:rPr>
        <w:t>détecter et expliciter la nature de la relation établie entre le soignant et le soigné ;</w:t>
      </w:r>
    </w:p>
    <w:p>
      <w:pPr>
        <w:pStyle w:val="Paragraphedeliste"/>
        <w:numPr>
          <w:ilvl w:val="0"/>
          <w:numId w:val="16"/>
        </w:numPr>
        <w:tabs>
          <w:tab w:val="left" w:pos="851"/>
        </w:tabs>
        <w:spacing w:after="120"/>
        <w:contextualSpacing w:val="0"/>
        <w:jc w:val="both"/>
        <w:rPr>
          <w:bCs/>
          <w:color w:val="000000"/>
        </w:rPr>
      </w:pPr>
      <w:r>
        <w:rPr>
          <w:bCs/>
          <w:color w:val="000000"/>
        </w:rPr>
        <w:t>identifier, décrire différents concepts, facteurs, phénomènes, caractéristiques ou mécanismes à prendre en considération dans la relation soignant/soigné ;</w:t>
      </w:r>
    </w:p>
    <w:p>
      <w:pPr>
        <w:pStyle w:val="Paragraphedeliste"/>
        <w:numPr>
          <w:ilvl w:val="0"/>
          <w:numId w:val="16"/>
        </w:numPr>
        <w:tabs>
          <w:tab w:val="left" w:pos="851"/>
        </w:tabs>
        <w:spacing w:after="120"/>
        <w:contextualSpacing w:val="0"/>
        <w:jc w:val="both"/>
        <w:rPr>
          <w:b/>
        </w:rPr>
      </w:pPr>
      <w:r>
        <w:t>proposer des attitudes et des comportements adaptés et respectueux du bénéficiaire de soins dans le cadre d’une relation soignant/soigné</w:t>
      </w:r>
      <w:r>
        <w:rPr>
          <w:bCs/>
          <w:color w:val="000000"/>
        </w:rPr>
        <w:t xml:space="preserve"> en tenant compte de l’environnement, des particularités personnelles et culturelles du bénéficiaire de soins</w:t>
      </w:r>
      <w:r>
        <w:t>.</w:t>
      </w:r>
    </w:p>
    <w:p>
      <w:pPr>
        <w:spacing w:after="120"/>
        <w:ind w:left="851"/>
        <w:jc w:val="both"/>
        <w:rPr>
          <w:b/>
        </w:rPr>
      </w:pPr>
    </w:p>
    <w:p>
      <w:pPr>
        <w:tabs>
          <w:tab w:val="num" w:pos="851"/>
        </w:tabs>
        <w:spacing w:after="120"/>
        <w:ind w:left="360"/>
        <w:jc w:val="both"/>
        <w:rPr>
          <w:b/>
        </w:rPr>
      </w:pPr>
      <w:r>
        <w:rPr>
          <w:b/>
        </w:rPr>
        <w:lastRenderedPageBreak/>
        <w:t>2.2.</w:t>
      </w:r>
      <w:r>
        <w:rPr>
          <w:b/>
        </w:rPr>
        <w:tab/>
        <w:t>Titre pouvant en tenir lieu</w:t>
      </w:r>
    </w:p>
    <w:p>
      <w:pPr>
        <w:tabs>
          <w:tab w:val="left" w:pos="851"/>
        </w:tabs>
        <w:spacing w:after="120"/>
        <w:ind w:left="851"/>
        <w:jc w:val="both"/>
      </w:pPr>
      <w:r>
        <w:t>Attestation de réussite de l’unité d’enseignement « Initiation à la relation soignant/soigné », code n° 821112U21D2, classée dans l’enseignement secondaire supérieur de transition.</w:t>
      </w:r>
    </w:p>
    <w:p>
      <w:pPr>
        <w:spacing w:before="120"/>
        <w:ind w:left="851"/>
        <w:jc w:val="both"/>
      </w:pPr>
      <w:r>
        <w:t>Peuvent également être admis dans cette unité d’enseignement, les étudiants en possession :</w:t>
      </w:r>
    </w:p>
    <w:p>
      <w:pPr>
        <w:numPr>
          <w:ilvl w:val="0"/>
          <w:numId w:val="4"/>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ou des attestations de réussite des unités d’enseignement de la section d’infirmier hospitalier de l’enseignement de promotion sociale : « Infirmier hospitalier : sciences sociales I et II » ;</w:t>
      </w:r>
    </w:p>
    <w:p>
      <w:pPr>
        <w:numPr>
          <w:ilvl w:val="0"/>
          <w:numId w:val="4"/>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délivrée par le Jury de la communauté française ;</w:t>
      </w:r>
    </w:p>
    <w:p>
      <w:pPr>
        <w:numPr>
          <w:ilvl w:val="0"/>
          <w:numId w:val="4"/>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d’assistant(e) en soins hospitaliers ou du brevet du brevet d’assistant(e) en soins hospitaliers - spécialité psychiatrique ;</w:t>
      </w:r>
    </w:p>
    <w:p>
      <w:pPr>
        <w:numPr>
          <w:ilvl w:val="0"/>
          <w:numId w:val="4"/>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diplôme de Bachelier Infirmier responsable de soins généraux ou des attestations de réussite des unités d’enseignement de la section Bachelier Infirmier responsable de soins généraux de l’enseignement de promotion sociale : « Relation soignant/soigné » ;</w:t>
      </w:r>
    </w:p>
    <w:p>
      <w:pPr>
        <w:numPr>
          <w:ilvl w:val="0"/>
          <w:numId w:val="4"/>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diplôme Bachelier en soins infirmiers ou des attestations de réussite des unités d’enseignement de la section Bachelier en soins infirmiers de l’enseignement de promotion sociale :</w:t>
      </w:r>
      <w:r>
        <w:rPr>
          <w:color w:val="000000"/>
          <w:spacing w:val="-2"/>
        </w:rPr>
        <w:t xml:space="preserve"> « </w:t>
      </w:r>
      <w:r>
        <w:rPr>
          <w:color w:val="000000"/>
          <w:spacing w:val="-3"/>
        </w:rPr>
        <w:t>Bachelier en soins infirmiers : Sciences humaines et sociales I »</w:t>
      </w:r>
      <w:r>
        <w:rPr>
          <w:color w:val="000000"/>
          <w:spacing w:val="-2"/>
        </w:rPr>
        <w:t> ;</w:t>
      </w:r>
    </w:p>
    <w:p>
      <w:pPr>
        <w:numPr>
          <w:ilvl w:val="0"/>
          <w:numId w:val="4"/>
        </w:numPr>
        <w:tabs>
          <w:tab w:val="clear" w:pos="1920"/>
          <w:tab w:val="num" w:pos="360"/>
          <w:tab w:val="num" w:pos="1134"/>
        </w:tabs>
        <w:spacing w:before="120"/>
        <w:ind w:left="1134" w:hanging="283"/>
        <w:jc w:val="both"/>
        <w:rPr>
          <w:b/>
        </w:rPr>
      </w:pPr>
      <w:r>
        <w:t>d’une attestation de réussite de 1ère année des études menant à obtention du diplôme de Bachelier Sage-femme ;</w:t>
      </w:r>
    </w:p>
    <w:p>
      <w:pPr>
        <w:numPr>
          <w:ilvl w:val="0"/>
          <w:numId w:val="4"/>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diplôme d’infirmier gradué hospitalier ou des attestations de réussite des unités d’enseignement de la section d’infirmier gradué hospitalier de l’enseignement de promotion sociale :</w:t>
      </w:r>
      <w:r>
        <w:rPr>
          <w:color w:val="000000"/>
          <w:spacing w:val="-2"/>
        </w:rPr>
        <w:t xml:space="preserve"> « Infirmier gradué :</w:t>
      </w:r>
      <w:r>
        <w:rPr>
          <w:color w:val="000000"/>
          <w:spacing w:val="-3"/>
        </w:rPr>
        <w:t xml:space="preserve"> Sciences humaines et sociales I »</w:t>
      </w:r>
      <w:r>
        <w:rPr>
          <w:color w:val="000000"/>
          <w:spacing w:val="-2"/>
        </w:rPr>
        <w:t> ;</w:t>
      </w:r>
    </w:p>
    <w:p>
      <w:pPr>
        <w:numPr>
          <w:ilvl w:val="0"/>
          <w:numId w:val="4"/>
        </w:numPr>
        <w:tabs>
          <w:tab w:val="clear" w:pos="1920"/>
          <w:tab w:val="num" w:pos="360"/>
          <w:tab w:val="num" w:pos="1134"/>
        </w:tabs>
        <w:spacing w:before="120"/>
        <w:ind w:left="1134" w:hanging="283"/>
        <w:jc w:val="both"/>
        <w:rPr>
          <w:b/>
        </w:rPr>
      </w:pPr>
      <w:r>
        <w:t>d’une dépêche d’équivalence d’un titre étranger à une 1</w:t>
      </w:r>
      <w:r>
        <w:rPr>
          <w:vertAlign w:val="superscript"/>
        </w:rPr>
        <w:t>ère</w:t>
      </w:r>
      <w:r>
        <w:t xml:space="preserve"> année des études menant à l’obtention du brevet d’infirmier(e) hospitalier(e) ou du brevet d’infirmier(e) hospitalier(e) - orientation santé mentale et psychiatrie ou du bachelier en soins infirmiers.</w:t>
      </w:r>
    </w:p>
    <w:p>
      <w:pPr>
        <w:spacing w:before="120"/>
        <w:ind w:left="851"/>
        <w:jc w:val="both"/>
      </w:pPr>
    </w:p>
    <w:p>
      <w:pPr>
        <w:numPr>
          <w:ilvl w:val="0"/>
          <w:numId w:val="2"/>
        </w:numPr>
        <w:tabs>
          <w:tab w:val="num" w:pos="1416"/>
        </w:tabs>
        <w:spacing w:after="120"/>
        <w:jc w:val="both"/>
        <w:rPr>
          <w:b/>
        </w:rPr>
      </w:pPr>
      <w:r>
        <w:rPr>
          <w:b/>
        </w:rPr>
        <w:t>ACQUIS D’APPRENTISSAGE</w:t>
      </w:r>
    </w:p>
    <w:p>
      <w:pPr>
        <w:pStyle w:val="Retraitcorpsdetexte2"/>
        <w:spacing w:after="120"/>
        <w:rPr>
          <w:b/>
          <w:color w:val="000000"/>
        </w:rPr>
      </w:pPr>
      <w:r>
        <w:rPr>
          <w:b/>
          <w:color w:val="000000"/>
        </w:rPr>
        <w:t>Pour atteindre le seuil de réussite, l’étudiant sera capable :</w:t>
      </w:r>
    </w:p>
    <w:p>
      <w:pPr>
        <w:pStyle w:val="Retraitcorpsdetexte2"/>
        <w:spacing w:after="120"/>
        <w:rPr>
          <w:bCs/>
          <w:i/>
          <w:color w:val="000000"/>
        </w:rPr>
      </w:pPr>
      <w:proofErr w:type="gramStart"/>
      <w:r>
        <w:rPr>
          <w:bCs/>
          <w:i/>
          <w:color w:val="000000"/>
        </w:rPr>
        <w:t>au</w:t>
      </w:r>
      <w:proofErr w:type="gramEnd"/>
      <w:r>
        <w:rPr>
          <w:bCs/>
          <w:i/>
          <w:color w:val="000000"/>
        </w:rPr>
        <w:t xml:space="preserve"> départ d’une situation fictive de prise en soins d’un bénéficiaire adulte </w:t>
      </w:r>
      <w:r>
        <w:rPr>
          <w:i/>
        </w:rPr>
        <w:t>présentant des troubles liés aux contextes de soins, notamment celui de l’hospitalisation, ou des troubles psychologiques du fonctionnement</w:t>
      </w:r>
      <w:r>
        <w:rPr>
          <w:bCs/>
          <w:i/>
          <w:color w:val="000000"/>
        </w:rPr>
        <w:t>, et en utilisant le vocabulaire adéquat,</w:t>
      </w:r>
    </w:p>
    <w:p>
      <w:pPr>
        <w:numPr>
          <w:ilvl w:val="0"/>
          <w:numId w:val="5"/>
        </w:numPr>
        <w:tabs>
          <w:tab w:val="num" w:pos="360"/>
          <w:tab w:val="num" w:pos="709"/>
        </w:tabs>
        <w:spacing w:after="120"/>
        <w:ind w:hanging="294"/>
        <w:jc w:val="both"/>
        <w:rPr>
          <w:bCs/>
          <w:color w:val="000000"/>
        </w:rPr>
      </w:pPr>
      <w:r>
        <w:rPr>
          <w:bCs/>
          <w:color w:val="000000"/>
        </w:rPr>
        <w:t>de caractériser les troubles psychologiques identifiés ;</w:t>
      </w:r>
    </w:p>
    <w:p>
      <w:pPr>
        <w:numPr>
          <w:ilvl w:val="0"/>
          <w:numId w:val="5"/>
        </w:numPr>
        <w:tabs>
          <w:tab w:val="num" w:pos="360"/>
          <w:tab w:val="num" w:pos="709"/>
        </w:tabs>
        <w:spacing w:after="120"/>
        <w:ind w:hanging="294"/>
        <w:jc w:val="both"/>
        <w:rPr>
          <w:bCs/>
          <w:color w:val="000000"/>
        </w:rPr>
      </w:pPr>
      <w:r>
        <w:rPr>
          <w:bCs/>
          <w:color w:val="000000"/>
        </w:rPr>
        <w:t>d’adapter son langage professionnel, sa posture et ses attitudes dans l’intervention soignante :</w:t>
      </w:r>
    </w:p>
    <w:p>
      <w:pPr>
        <w:pStyle w:val="Paragraphedeliste"/>
        <w:numPr>
          <w:ilvl w:val="0"/>
          <w:numId w:val="18"/>
        </w:numPr>
        <w:tabs>
          <w:tab w:val="num" w:pos="709"/>
        </w:tabs>
        <w:spacing w:after="120"/>
        <w:contextualSpacing w:val="0"/>
        <w:jc w:val="both"/>
        <w:rPr>
          <w:bCs/>
          <w:color w:val="000000"/>
        </w:rPr>
      </w:pPr>
      <w:r>
        <w:rPr>
          <w:bCs/>
          <w:color w:val="000000"/>
        </w:rPr>
        <w:t>en établissant les conditions et les modalités d’une relation adéquate,</w:t>
      </w:r>
    </w:p>
    <w:p>
      <w:pPr>
        <w:pStyle w:val="Paragraphedeliste"/>
        <w:numPr>
          <w:ilvl w:val="0"/>
          <w:numId w:val="18"/>
        </w:numPr>
        <w:tabs>
          <w:tab w:val="num" w:pos="709"/>
        </w:tabs>
        <w:spacing w:after="120"/>
        <w:contextualSpacing w:val="0"/>
        <w:jc w:val="both"/>
        <w:rPr>
          <w:bCs/>
          <w:color w:val="000000"/>
        </w:rPr>
      </w:pPr>
      <w:r>
        <w:rPr>
          <w:bCs/>
          <w:color w:val="000000"/>
        </w:rPr>
        <w:t>en tenant compte de l’état de santé physique, psychologique et du niveau de compréhension du bénéficiaire de soins ;</w:t>
      </w:r>
    </w:p>
    <w:p>
      <w:pPr>
        <w:numPr>
          <w:ilvl w:val="0"/>
          <w:numId w:val="5"/>
        </w:numPr>
        <w:tabs>
          <w:tab w:val="num" w:pos="360"/>
          <w:tab w:val="num" w:pos="709"/>
        </w:tabs>
        <w:spacing w:after="120"/>
        <w:ind w:hanging="294"/>
        <w:jc w:val="both"/>
        <w:rPr>
          <w:bCs/>
          <w:color w:val="000000"/>
        </w:rPr>
      </w:pPr>
      <w:r>
        <w:rPr>
          <w:bCs/>
          <w:color w:val="000000"/>
        </w:rPr>
        <w:t xml:space="preserve">de définir les concepts clés et objectifs liés à </w:t>
      </w:r>
      <w:r>
        <w:rPr>
          <w:lang w:val="fr-BE" w:eastAsia="fr-BE"/>
        </w:rPr>
        <w:t>l’éducation à la santé et à la santé primaire en les différenciant d’autres concepts </w:t>
      </w:r>
      <w:r>
        <w:rPr>
          <w:bCs/>
          <w:color w:val="000000"/>
        </w:rPr>
        <w:t>;</w:t>
      </w:r>
    </w:p>
    <w:p>
      <w:pPr>
        <w:pStyle w:val="Retraitcorpsdetexte2"/>
        <w:spacing w:after="120"/>
        <w:rPr>
          <w:bCs/>
          <w:i/>
          <w:color w:val="000000"/>
        </w:rPr>
      </w:pPr>
      <w:proofErr w:type="gramStart"/>
      <w:r>
        <w:rPr>
          <w:bCs/>
          <w:i/>
          <w:color w:val="000000"/>
        </w:rPr>
        <w:lastRenderedPageBreak/>
        <w:t>au</w:t>
      </w:r>
      <w:proofErr w:type="gramEnd"/>
      <w:r>
        <w:rPr>
          <w:bCs/>
          <w:i/>
          <w:color w:val="000000"/>
        </w:rPr>
        <w:t xml:space="preserve"> départ de son expérience de stage, en vue d’établir une relation éducative efficace,</w:t>
      </w:r>
    </w:p>
    <w:p>
      <w:pPr>
        <w:numPr>
          <w:ilvl w:val="0"/>
          <w:numId w:val="5"/>
        </w:numPr>
        <w:tabs>
          <w:tab w:val="num" w:pos="360"/>
          <w:tab w:val="num" w:pos="709"/>
        </w:tabs>
        <w:spacing w:after="120"/>
        <w:ind w:hanging="294"/>
        <w:jc w:val="both"/>
      </w:pPr>
      <w:r>
        <w:t xml:space="preserve">d’élaborer un projet </w:t>
      </w:r>
      <w:r>
        <w:rPr>
          <w:bCs/>
          <w:color w:val="000000"/>
        </w:rPr>
        <w:t>d’éducation</w:t>
      </w:r>
      <w:r>
        <w:t xml:space="preserve"> à la santé pour un groupe cible bien défini :</w:t>
      </w:r>
    </w:p>
    <w:p>
      <w:pPr>
        <w:pStyle w:val="Paragraphedeliste"/>
        <w:numPr>
          <w:ilvl w:val="0"/>
          <w:numId w:val="19"/>
        </w:numPr>
        <w:spacing w:after="120"/>
        <w:contextualSpacing w:val="0"/>
        <w:jc w:val="both"/>
        <w:rPr>
          <w:bCs/>
          <w:color w:val="000000"/>
        </w:rPr>
      </w:pPr>
      <w:r>
        <w:rPr>
          <w:bCs/>
          <w:color w:val="000000"/>
        </w:rPr>
        <w:t>en suivant une méthodologie logique et rigoureuse,</w:t>
      </w:r>
    </w:p>
    <w:p>
      <w:pPr>
        <w:pStyle w:val="Paragraphedeliste"/>
        <w:numPr>
          <w:ilvl w:val="0"/>
          <w:numId w:val="19"/>
        </w:numPr>
        <w:spacing w:after="120"/>
        <w:contextualSpacing w:val="0"/>
        <w:jc w:val="both"/>
        <w:rPr>
          <w:bCs/>
          <w:color w:val="000000"/>
        </w:rPr>
      </w:pPr>
      <w:r>
        <w:rPr>
          <w:bCs/>
          <w:color w:val="000000"/>
        </w:rPr>
        <w:t>en utilisant des méthodes pédagogiques pertinentes,</w:t>
      </w:r>
    </w:p>
    <w:p>
      <w:pPr>
        <w:pStyle w:val="Paragraphedeliste"/>
        <w:numPr>
          <w:ilvl w:val="0"/>
          <w:numId w:val="19"/>
        </w:numPr>
        <w:spacing w:after="120"/>
        <w:contextualSpacing w:val="0"/>
        <w:jc w:val="both"/>
        <w:rPr>
          <w:bCs/>
          <w:color w:val="000000"/>
        </w:rPr>
      </w:pPr>
      <w:r>
        <w:rPr>
          <w:bCs/>
          <w:color w:val="000000"/>
        </w:rPr>
        <w:t>en identifiant et décrivant le public cible, ses contributions et ses actions,</w:t>
      </w:r>
    </w:p>
    <w:p>
      <w:pPr>
        <w:pStyle w:val="Paragraphedeliste"/>
        <w:numPr>
          <w:ilvl w:val="0"/>
          <w:numId w:val="19"/>
        </w:numPr>
        <w:spacing w:after="120"/>
        <w:contextualSpacing w:val="0"/>
        <w:jc w:val="both"/>
        <w:rPr>
          <w:bCs/>
          <w:color w:val="000000"/>
        </w:rPr>
      </w:pPr>
      <w:r>
        <w:rPr>
          <w:bCs/>
          <w:color w:val="000000"/>
        </w:rPr>
        <w:t>en identifiant les ressources utilisées.</w:t>
      </w:r>
    </w:p>
    <w:p>
      <w:pPr>
        <w:pStyle w:val="Retraitcorpsdetexte2"/>
        <w:spacing w:after="120"/>
        <w:rPr>
          <w:b/>
          <w:color w:val="000000"/>
        </w:rPr>
      </w:pPr>
      <w:r>
        <w:rPr>
          <w:b/>
          <w:color w:val="000000"/>
        </w:rPr>
        <w:t>Pour la détermination du degré de maîtrise, il sera tenu compte des critères suivants :</w:t>
      </w:r>
    </w:p>
    <w:p>
      <w:pPr>
        <w:numPr>
          <w:ilvl w:val="0"/>
          <w:numId w:val="20"/>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20"/>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20"/>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20"/>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pStyle w:val="Retraitcorpsdetexte2"/>
        <w:spacing w:after="120"/>
        <w:rPr>
          <w:b/>
          <w:color w:val="000000"/>
        </w:rPr>
      </w:pPr>
    </w:p>
    <w:p>
      <w:pPr>
        <w:numPr>
          <w:ilvl w:val="0"/>
          <w:numId w:val="2"/>
        </w:numPr>
        <w:tabs>
          <w:tab w:val="num" w:pos="1416"/>
        </w:tabs>
        <w:spacing w:after="120"/>
        <w:jc w:val="both"/>
        <w:rPr>
          <w:b/>
        </w:rPr>
      </w:pPr>
      <w:r>
        <w:rPr>
          <w:b/>
        </w:rPr>
        <w:t xml:space="preserve">PROGRAMME </w:t>
      </w:r>
    </w:p>
    <w:p>
      <w:pPr>
        <w:pStyle w:val="Paragraphedeliste"/>
        <w:tabs>
          <w:tab w:val="left" w:pos="426"/>
        </w:tabs>
        <w:spacing w:after="120"/>
        <w:ind w:left="360"/>
        <w:contextualSpacing w:val="0"/>
        <w:jc w:val="both"/>
      </w:pPr>
      <w:r>
        <w:t>L’étudiant sera capable :</w:t>
      </w:r>
    </w:p>
    <w:p>
      <w:pPr>
        <w:pStyle w:val="Listepuces2"/>
        <w:numPr>
          <w:ilvl w:val="1"/>
          <w:numId w:val="6"/>
        </w:numPr>
        <w:tabs>
          <w:tab w:val="left" w:pos="993"/>
          <w:tab w:val="num" w:pos="4188"/>
        </w:tabs>
        <w:spacing w:before="0" w:after="120"/>
        <w:ind w:left="993" w:hanging="567"/>
        <w:jc w:val="both"/>
        <w:rPr>
          <w:b/>
        </w:rPr>
      </w:pPr>
      <w:r>
        <w:rPr>
          <w:b/>
        </w:rPr>
        <w:t>Psychologie</w:t>
      </w:r>
    </w:p>
    <w:p>
      <w:pPr>
        <w:pStyle w:val="Listepuces2"/>
        <w:numPr>
          <w:ilvl w:val="0"/>
          <w:numId w:val="0"/>
        </w:numPr>
        <w:tabs>
          <w:tab w:val="left" w:pos="993"/>
        </w:tabs>
        <w:spacing w:before="0" w:after="120"/>
        <w:ind w:left="993"/>
        <w:jc w:val="both"/>
        <w:rPr>
          <w:i/>
        </w:rPr>
      </w:pPr>
      <w:r>
        <w:rPr>
          <w:i/>
        </w:rPr>
        <w:t>au départ de situations fictives,</w:t>
      </w:r>
    </w:p>
    <w:p>
      <w:pPr>
        <w:pStyle w:val="Listepuces2"/>
        <w:numPr>
          <w:ilvl w:val="0"/>
          <w:numId w:val="0"/>
        </w:numPr>
        <w:tabs>
          <w:tab w:val="left" w:pos="993"/>
        </w:tabs>
        <w:spacing w:before="0" w:after="120"/>
        <w:ind w:left="993"/>
        <w:jc w:val="both"/>
        <w:rPr>
          <w:i/>
        </w:rPr>
      </w:pPr>
      <w:r>
        <w:rPr>
          <w:i/>
        </w:rPr>
        <w:t>en privilégiant le confort et le respect,</w:t>
      </w:r>
    </w:p>
    <w:p>
      <w:pPr>
        <w:numPr>
          <w:ilvl w:val="0"/>
          <w:numId w:val="5"/>
        </w:numPr>
        <w:tabs>
          <w:tab w:val="num" w:pos="1418"/>
        </w:tabs>
        <w:spacing w:after="120"/>
        <w:ind w:left="1418" w:hanging="425"/>
        <w:jc w:val="both"/>
      </w:pPr>
      <w:r>
        <w:t>d’identifier des moyens de prévention de troubles psychologiques liés à l’hospitalisation (peur, angoisse, anxiété, stress, …) ;</w:t>
      </w:r>
    </w:p>
    <w:p>
      <w:pPr>
        <w:numPr>
          <w:ilvl w:val="0"/>
          <w:numId w:val="5"/>
        </w:numPr>
        <w:tabs>
          <w:tab w:val="num" w:pos="1418"/>
        </w:tabs>
        <w:spacing w:after="120"/>
        <w:ind w:left="1418" w:hanging="425"/>
        <w:jc w:val="both"/>
      </w:pPr>
      <w:r>
        <w:t>d’identifier et de décrire les principaux symptômes des troubles psychologiques du fonctionnement et les traumatismes liés à différents stades du développement de la personnalité de l’individu (schizophrénie, troubles affectifs, troubles obsessionnels, troubles d’anxiété, troubles caractériels, syndrome cérébral organique, démences, dépressions, …) ;</w:t>
      </w:r>
    </w:p>
    <w:p>
      <w:pPr>
        <w:numPr>
          <w:ilvl w:val="0"/>
          <w:numId w:val="5"/>
        </w:numPr>
        <w:tabs>
          <w:tab w:val="num" w:pos="1418"/>
        </w:tabs>
        <w:spacing w:after="120"/>
        <w:ind w:left="1418" w:hanging="425"/>
        <w:jc w:val="both"/>
      </w:pPr>
      <w:r>
        <w:t>d’identifier et de proposer des postures professionnelles, attitudes verbales, para verbales, non-verbales adaptées à l’état de santé physique du bénéficiaire mais aussi à son état de santé psychologique ;</w:t>
      </w:r>
    </w:p>
    <w:p>
      <w:pPr>
        <w:numPr>
          <w:ilvl w:val="0"/>
          <w:numId w:val="5"/>
        </w:numPr>
        <w:tabs>
          <w:tab w:val="num" w:pos="1418"/>
        </w:tabs>
        <w:spacing w:after="120"/>
        <w:ind w:left="1418" w:hanging="425"/>
        <w:jc w:val="both"/>
      </w:pPr>
      <w:r>
        <w:t>d’instaurer un climat de confiance avec la personne soignée et son entourage en vue d’une alliance thérapeutique.</w:t>
      </w:r>
    </w:p>
    <w:p>
      <w:pPr>
        <w:pStyle w:val="Listepuces2"/>
        <w:numPr>
          <w:ilvl w:val="1"/>
          <w:numId w:val="6"/>
        </w:numPr>
        <w:tabs>
          <w:tab w:val="left" w:pos="993"/>
          <w:tab w:val="num" w:pos="4188"/>
        </w:tabs>
        <w:spacing w:before="0" w:after="120"/>
        <w:ind w:left="993" w:hanging="567"/>
        <w:jc w:val="both"/>
        <w:rPr>
          <w:b/>
        </w:rPr>
      </w:pPr>
      <w:r>
        <w:rPr>
          <w:b/>
        </w:rPr>
        <w:t>Principes d’enseignement, d’éducation à la santé et soins de santé primaire</w:t>
      </w:r>
    </w:p>
    <w:p>
      <w:pPr>
        <w:pStyle w:val="Listepuces2"/>
        <w:numPr>
          <w:ilvl w:val="0"/>
          <w:numId w:val="0"/>
        </w:numPr>
        <w:tabs>
          <w:tab w:val="left" w:pos="993"/>
        </w:tabs>
        <w:spacing w:before="0" w:after="120"/>
        <w:ind w:left="993"/>
        <w:jc w:val="both"/>
        <w:rPr>
          <w:i/>
        </w:rPr>
      </w:pPr>
      <w:r>
        <w:rPr>
          <w:i/>
        </w:rPr>
        <w:t>afin d’adopter des comportements professionnels qui visent l’éducation sanitaire du bénéficiaire de soins et/ou de son entourage, des collègues ou étudiants,</w:t>
      </w:r>
    </w:p>
    <w:p>
      <w:pPr>
        <w:numPr>
          <w:ilvl w:val="0"/>
          <w:numId w:val="5"/>
        </w:numPr>
        <w:tabs>
          <w:tab w:val="num" w:pos="1418"/>
        </w:tabs>
        <w:spacing w:after="120"/>
        <w:ind w:left="1418" w:hanging="425"/>
        <w:jc w:val="both"/>
        <w:rPr>
          <w:lang w:val="fr-BE" w:eastAsia="fr-BE"/>
        </w:rPr>
      </w:pPr>
      <w:r>
        <w:rPr>
          <w:lang w:val="fr-BE" w:eastAsia="fr-BE"/>
        </w:rPr>
        <w:t xml:space="preserve">de définir et de différencier les </w:t>
      </w:r>
      <w:r>
        <w:t>concepts</w:t>
      </w:r>
      <w:r>
        <w:rPr>
          <w:lang w:val="fr-BE" w:eastAsia="fr-BE"/>
        </w:rPr>
        <w:t xml:space="preserve"> de promotion de la santé, d’éducation à la santé et d’éducation thérapeutique dans une perspective de résolution de problème dans le domaine de la santé ;</w:t>
      </w:r>
    </w:p>
    <w:p>
      <w:pPr>
        <w:numPr>
          <w:ilvl w:val="0"/>
          <w:numId w:val="5"/>
        </w:numPr>
        <w:tabs>
          <w:tab w:val="num" w:pos="1418"/>
        </w:tabs>
        <w:spacing w:after="120"/>
        <w:ind w:left="1418" w:hanging="425"/>
        <w:jc w:val="both"/>
        <w:rPr>
          <w:lang w:val="fr-BE" w:eastAsia="fr-BE"/>
        </w:rPr>
      </w:pPr>
      <w:r>
        <w:rPr>
          <w:lang w:val="fr-BE" w:eastAsia="fr-BE"/>
        </w:rPr>
        <w:t>d’identifier des besoins éducatifs actualisés en soins infirmiers ;</w:t>
      </w:r>
    </w:p>
    <w:p>
      <w:pPr>
        <w:numPr>
          <w:ilvl w:val="0"/>
          <w:numId w:val="5"/>
        </w:numPr>
        <w:tabs>
          <w:tab w:val="num" w:pos="1418"/>
        </w:tabs>
        <w:spacing w:after="120"/>
        <w:ind w:left="1418" w:hanging="425"/>
        <w:jc w:val="both"/>
        <w:rPr>
          <w:lang w:val="fr-BE" w:eastAsia="fr-BE"/>
        </w:rPr>
      </w:pPr>
      <w:r>
        <w:rPr>
          <w:lang w:val="fr-BE" w:eastAsia="fr-BE"/>
        </w:rPr>
        <w:lastRenderedPageBreak/>
        <w:t>d’expliciter les étapes et le processus d’un projet d’éducation à la santé et d’éducation thérapeutique ;</w:t>
      </w:r>
    </w:p>
    <w:p>
      <w:pPr>
        <w:numPr>
          <w:ilvl w:val="0"/>
          <w:numId w:val="5"/>
        </w:numPr>
        <w:tabs>
          <w:tab w:val="num" w:pos="1418"/>
        </w:tabs>
        <w:spacing w:after="120"/>
        <w:ind w:left="1418" w:hanging="425"/>
        <w:jc w:val="both"/>
        <w:rPr>
          <w:lang w:val="fr-BE" w:eastAsia="fr-BE"/>
        </w:rPr>
      </w:pPr>
      <w:r>
        <w:rPr>
          <w:lang w:val="fr-BE" w:eastAsia="fr-BE"/>
        </w:rPr>
        <w:t>de décrire le processus d'apprentissage, les méthodes et les stratégies éducatives qui rendent un individu acteur pour le maintien ou la restauration de sa santé ;</w:t>
      </w:r>
    </w:p>
    <w:p>
      <w:pPr>
        <w:numPr>
          <w:ilvl w:val="0"/>
          <w:numId w:val="5"/>
        </w:numPr>
        <w:tabs>
          <w:tab w:val="num" w:pos="1418"/>
        </w:tabs>
        <w:spacing w:after="120"/>
        <w:ind w:left="1418" w:hanging="425"/>
        <w:jc w:val="both"/>
      </w:pPr>
      <w:r>
        <w:t>de détecter les obstacles à une éducation à la santé ;</w:t>
      </w:r>
    </w:p>
    <w:p>
      <w:pPr>
        <w:numPr>
          <w:ilvl w:val="0"/>
          <w:numId w:val="5"/>
        </w:numPr>
        <w:tabs>
          <w:tab w:val="num" w:pos="1418"/>
        </w:tabs>
        <w:spacing w:after="120"/>
        <w:ind w:left="1418" w:hanging="425"/>
        <w:jc w:val="both"/>
      </w:pPr>
      <w:r>
        <w:t>d’identifier, de décrire et de concevoir la démarche méthodologique, les méthodes pédagogiques, ses actions, ses contributions et les ressources adaptées à la réalisation d’un projet d’éducation à la santé d’un groupe de personnes bien défini ;</w:t>
      </w:r>
    </w:p>
    <w:p>
      <w:pPr>
        <w:pStyle w:val="Listepuces2"/>
        <w:numPr>
          <w:ilvl w:val="0"/>
          <w:numId w:val="0"/>
        </w:numPr>
        <w:tabs>
          <w:tab w:val="left" w:pos="993"/>
        </w:tabs>
        <w:spacing w:before="0" w:after="120"/>
        <w:ind w:left="993"/>
        <w:jc w:val="both"/>
        <w:rPr>
          <w:i/>
          <w:lang w:val="fr-BE" w:eastAsia="fr-BE"/>
        </w:rPr>
      </w:pPr>
      <w:r>
        <w:rPr>
          <w:i/>
          <w:lang w:val="fr-BE" w:eastAsia="fr-BE"/>
        </w:rPr>
        <w:t xml:space="preserve">afin de situer son action </w:t>
      </w:r>
      <w:r>
        <w:rPr>
          <w:i/>
        </w:rPr>
        <w:t>infirmière</w:t>
      </w:r>
      <w:r>
        <w:rPr>
          <w:i/>
          <w:lang w:val="fr-BE" w:eastAsia="fr-BE"/>
        </w:rPr>
        <w:t xml:space="preserve"> dans un contexte qui privilégie la libre accessibilité des soins de santé,</w:t>
      </w:r>
    </w:p>
    <w:p>
      <w:pPr>
        <w:numPr>
          <w:ilvl w:val="0"/>
          <w:numId w:val="5"/>
        </w:numPr>
        <w:tabs>
          <w:tab w:val="num" w:pos="1418"/>
        </w:tabs>
        <w:spacing w:after="120"/>
        <w:ind w:left="1418" w:hanging="425"/>
        <w:jc w:val="both"/>
      </w:pPr>
      <w:r>
        <w:t>de définir et de caractériser la notion de soins de santé primaire (offre des soins généralistes, globaux, continus, intégrés, accessibles, efficacité …) ;</w:t>
      </w:r>
    </w:p>
    <w:p>
      <w:pPr>
        <w:numPr>
          <w:ilvl w:val="0"/>
          <w:numId w:val="5"/>
        </w:numPr>
        <w:tabs>
          <w:tab w:val="num" w:pos="1418"/>
        </w:tabs>
        <w:spacing w:after="120"/>
        <w:ind w:left="1418" w:hanging="425"/>
        <w:jc w:val="both"/>
      </w:pPr>
      <w:r>
        <w:t>de citer les objectifs des soins de santé primaire pour un groupe de personnes dans les pays occidentaux ;</w:t>
      </w:r>
    </w:p>
    <w:p>
      <w:pPr>
        <w:numPr>
          <w:ilvl w:val="0"/>
          <w:numId w:val="5"/>
        </w:numPr>
        <w:tabs>
          <w:tab w:val="num" w:pos="1418"/>
        </w:tabs>
        <w:spacing w:after="120"/>
        <w:ind w:left="1418" w:hanging="425"/>
        <w:jc w:val="both"/>
      </w:pPr>
      <w:r>
        <w:t>d’illustrer par des exemples les notions de santé secondaire et tertiaire ;</w:t>
      </w:r>
    </w:p>
    <w:p>
      <w:pPr>
        <w:numPr>
          <w:ilvl w:val="0"/>
          <w:numId w:val="5"/>
        </w:numPr>
        <w:tabs>
          <w:tab w:val="num" w:pos="1418"/>
        </w:tabs>
        <w:spacing w:after="120"/>
        <w:ind w:left="1418" w:hanging="425"/>
        <w:jc w:val="both"/>
      </w:pPr>
      <w:r>
        <w:t>d’identifier les éléments convergents entre les notions de santé et les catégories de prévention primaire, secondaire et tertiaire.</w:t>
      </w:r>
    </w:p>
    <w:p>
      <w:pPr>
        <w:spacing w:after="120"/>
        <w:jc w:val="both"/>
      </w:pPr>
    </w:p>
    <w:p>
      <w:pPr>
        <w:numPr>
          <w:ilvl w:val="0"/>
          <w:numId w:val="2"/>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les deux cours, il est recommandé de ne pas dépasser vingt</w:t>
      </w:r>
      <w:r>
        <w:t xml:space="preserve"> étudiants par groupe.</w:t>
      </w:r>
    </w:p>
    <w:p>
      <w:pPr>
        <w:tabs>
          <w:tab w:val="num" w:pos="1416"/>
        </w:tabs>
        <w:spacing w:after="120"/>
        <w:ind w:left="360"/>
        <w:jc w:val="both"/>
      </w:pPr>
    </w:p>
    <w:p>
      <w:pPr>
        <w:numPr>
          <w:ilvl w:val="0"/>
          <w:numId w:val="2"/>
        </w:numPr>
        <w:tabs>
          <w:tab w:val="num" w:pos="1416"/>
        </w:tabs>
        <w:spacing w:after="120"/>
        <w:jc w:val="both"/>
        <w:rPr>
          <w:b/>
        </w:rPr>
      </w:pPr>
      <w:r>
        <w:rPr>
          <w:b/>
        </w:rPr>
        <w:t>CHARGE(S) DE COURS</w:t>
      </w:r>
    </w:p>
    <w:p>
      <w:pPr>
        <w:spacing w:after="120"/>
        <w:ind w:left="426"/>
        <w:jc w:val="both"/>
        <w:rPr>
          <w:color w:val="000000"/>
        </w:rPr>
      </w:pPr>
      <w:r>
        <w:rPr>
          <w:color w:val="000000"/>
        </w:rPr>
        <w:t>Le chargé de cours sera un enseignant ou un expert.</w:t>
      </w:r>
    </w:p>
    <w:p>
      <w:pPr>
        <w:spacing w:after="120"/>
        <w:ind w:left="426"/>
        <w:jc w:val="both"/>
      </w:pPr>
      <w:r>
        <w:rPr>
          <w:color w:val="000000"/>
        </w:rPr>
        <w:t>L’expert</w:t>
      </w:r>
      <w:r>
        <w:t xml:space="preserve"> </w:t>
      </w:r>
      <w:r>
        <w:rPr>
          <w:color w:val="000000"/>
        </w:rPr>
        <w:t>devra</w:t>
      </w:r>
      <w:r>
        <w:t xml:space="preserve"> justifier de compétences particulières issues d’une expérience professionnelle actualisée en relation avec le programme du présent dossier pédagogique.</w:t>
      </w:r>
    </w:p>
    <w:p>
      <w:pPr>
        <w:spacing w:after="120"/>
        <w:ind w:left="426"/>
        <w:jc w:val="both"/>
        <w:rPr>
          <w:color w:val="000000"/>
        </w:rPr>
      </w:pPr>
    </w:p>
    <w:p>
      <w:pPr>
        <w:numPr>
          <w:ilvl w:val="0"/>
          <w:numId w:val="2"/>
        </w:numPr>
        <w:tabs>
          <w:tab w:val="num" w:pos="1416"/>
        </w:tabs>
        <w:spacing w:before="120" w:after="120"/>
        <w:rPr>
          <w:b/>
        </w:rPr>
      </w:pPr>
      <w:r>
        <w:rPr>
          <w:b/>
        </w:rPr>
        <w:t>HORAIRE MINIMUM DE L’UNITE D’ENSEIGNEMENT</w:t>
      </w:r>
    </w:p>
    <w:p>
      <w:pPr>
        <w:tabs>
          <w:tab w:val="num" w:pos="1416"/>
        </w:tabs>
        <w:spacing w:before="120" w:after="120"/>
        <w:ind w:left="360"/>
        <w:rPr>
          <w:b/>
        </w:rPr>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759"/>
        <w:gridCol w:w="1702"/>
        <w:gridCol w:w="1702"/>
        <w:gridCol w:w="1702"/>
      </w:tblGrid>
      <w:tr>
        <w:tc>
          <w:tcPr>
            <w:tcW w:w="3756" w:type="dxa"/>
            <w:tcBorders>
              <w:top w:val="single" w:sz="12" w:space="0" w:color="auto"/>
              <w:left w:val="single" w:sz="12" w:space="0" w:color="auto"/>
              <w:bottom w:val="single" w:sz="12" w:space="0" w:color="auto"/>
              <w:right w:val="single" w:sz="6" w:space="0" w:color="auto"/>
            </w:tcBorders>
            <w:hideMark/>
          </w:tcPr>
          <w:p>
            <w:pPr>
              <w:spacing w:line="276" w:lineRule="auto"/>
              <w:ind w:left="426"/>
              <w:rPr>
                <w:b/>
              </w:rPr>
            </w:pPr>
            <w:r>
              <w:rPr>
                <w:b/>
              </w:rPr>
              <w:t>7.1. Dénomination des cours</w:t>
            </w:r>
          </w:p>
        </w:tc>
        <w:tc>
          <w:tcPr>
            <w:tcW w:w="1701" w:type="dxa"/>
            <w:tcBorders>
              <w:top w:val="single" w:sz="12" w:space="0" w:color="auto"/>
              <w:left w:val="single" w:sz="6" w:space="0" w:color="auto"/>
              <w:bottom w:val="single" w:sz="12" w:space="0" w:color="auto"/>
              <w:right w:val="single" w:sz="6" w:space="0" w:color="auto"/>
            </w:tcBorders>
            <w:hideMark/>
          </w:tcPr>
          <w:p>
            <w:pPr>
              <w:spacing w:line="276" w:lineRule="auto"/>
              <w:jc w:val="center"/>
              <w:rPr>
                <w:b/>
              </w:rPr>
            </w:pPr>
            <w:r>
              <w:rPr>
                <w:b/>
              </w:rPr>
              <w:t>Classement</w:t>
            </w:r>
          </w:p>
        </w:tc>
        <w:tc>
          <w:tcPr>
            <w:tcW w:w="1701" w:type="dxa"/>
            <w:tcBorders>
              <w:top w:val="single" w:sz="12" w:space="0" w:color="auto"/>
              <w:left w:val="single" w:sz="6" w:space="0" w:color="auto"/>
              <w:bottom w:val="single" w:sz="12" w:space="0" w:color="auto"/>
              <w:right w:val="single" w:sz="6" w:space="0" w:color="auto"/>
            </w:tcBorders>
            <w:hideMark/>
          </w:tcPr>
          <w:p>
            <w:pPr>
              <w:spacing w:line="276" w:lineRule="auto"/>
              <w:jc w:val="center"/>
              <w:rPr>
                <w:b/>
              </w:rPr>
            </w:pPr>
            <w:r>
              <w:rPr>
                <w:b/>
              </w:rPr>
              <w:t>Code U</w:t>
            </w:r>
          </w:p>
        </w:tc>
        <w:tc>
          <w:tcPr>
            <w:tcW w:w="1701" w:type="dxa"/>
            <w:tcBorders>
              <w:top w:val="single" w:sz="12" w:space="0" w:color="auto"/>
              <w:left w:val="single" w:sz="6" w:space="0" w:color="auto"/>
              <w:bottom w:val="single" w:sz="12" w:space="0" w:color="auto"/>
              <w:right w:val="single" w:sz="12" w:space="0" w:color="auto"/>
            </w:tcBorders>
            <w:hideMark/>
          </w:tcPr>
          <w:p>
            <w:pPr>
              <w:spacing w:line="276" w:lineRule="auto"/>
              <w:jc w:val="center"/>
              <w:rPr>
                <w:b/>
              </w:rPr>
            </w:pPr>
            <w:r>
              <w:rPr>
                <w:b/>
              </w:rPr>
              <w:t>Nombre de périodes</w:t>
            </w:r>
          </w:p>
        </w:tc>
      </w:tr>
      <w:tr>
        <w:tc>
          <w:tcPr>
            <w:tcW w:w="3756"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Psychologie</w:t>
            </w:r>
          </w:p>
        </w:tc>
        <w:tc>
          <w:tcPr>
            <w:tcW w:w="1701"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1"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F</w:t>
            </w:r>
          </w:p>
        </w:tc>
        <w:tc>
          <w:tcPr>
            <w:tcW w:w="1701" w:type="dxa"/>
            <w:tcBorders>
              <w:top w:val="nil"/>
              <w:left w:val="single" w:sz="6" w:space="0" w:color="auto"/>
              <w:bottom w:val="single" w:sz="6" w:space="0" w:color="auto"/>
              <w:right w:val="single" w:sz="12" w:space="0" w:color="auto"/>
            </w:tcBorders>
            <w:hideMark/>
          </w:tcPr>
          <w:p>
            <w:pPr>
              <w:spacing w:line="276" w:lineRule="auto"/>
              <w:ind w:right="-70"/>
              <w:jc w:val="center"/>
            </w:pPr>
            <w:r>
              <w:t>24</w:t>
            </w:r>
          </w:p>
        </w:tc>
      </w:tr>
      <w:tr>
        <w:tc>
          <w:tcPr>
            <w:tcW w:w="3756"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Principes d’enseignement, d’éducation à la santé et soins de santé primaire</w:t>
            </w:r>
          </w:p>
        </w:tc>
        <w:tc>
          <w:tcPr>
            <w:tcW w:w="1701"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1"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F</w:t>
            </w:r>
          </w:p>
        </w:tc>
        <w:tc>
          <w:tcPr>
            <w:tcW w:w="1701" w:type="dxa"/>
            <w:tcBorders>
              <w:top w:val="nil"/>
              <w:left w:val="single" w:sz="6" w:space="0" w:color="auto"/>
              <w:bottom w:val="single" w:sz="6" w:space="0" w:color="auto"/>
              <w:right w:val="single" w:sz="12" w:space="0" w:color="auto"/>
            </w:tcBorders>
            <w:hideMark/>
          </w:tcPr>
          <w:p>
            <w:pPr>
              <w:spacing w:line="276" w:lineRule="auto"/>
              <w:ind w:right="-70"/>
              <w:jc w:val="center"/>
            </w:pPr>
            <w:r>
              <w:t>36</w:t>
            </w:r>
          </w:p>
        </w:tc>
      </w:tr>
      <w:tr>
        <w:tc>
          <w:tcPr>
            <w:tcW w:w="3756" w:type="dxa"/>
            <w:tcBorders>
              <w:top w:val="nil"/>
              <w:left w:val="single" w:sz="12" w:space="0" w:color="auto"/>
              <w:bottom w:val="single" w:sz="6" w:space="0" w:color="auto"/>
              <w:right w:val="single" w:sz="6" w:space="0" w:color="auto"/>
            </w:tcBorders>
            <w:hideMark/>
          </w:tcPr>
          <w:p>
            <w:pPr>
              <w:spacing w:line="276" w:lineRule="auto"/>
              <w:ind w:left="426"/>
              <w:rPr>
                <w:b/>
              </w:rPr>
            </w:pPr>
            <w:r>
              <w:rPr>
                <w:b/>
              </w:rPr>
              <w:t>7.2. Part d’autonomie</w:t>
            </w:r>
          </w:p>
        </w:tc>
        <w:tc>
          <w:tcPr>
            <w:tcW w:w="1701" w:type="dxa"/>
            <w:tcBorders>
              <w:top w:val="nil"/>
              <w:left w:val="single" w:sz="6" w:space="0" w:color="auto"/>
              <w:bottom w:val="single" w:sz="6" w:space="0" w:color="auto"/>
              <w:right w:val="single" w:sz="6" w:space="0" w:color="auto"/>
            </w:tcBorders>
            <w:hideMark/>
          </w:tcPr>
          <w:p>
            <w:pPr>
              <w:spacing w:line="276" w:lineRule="auto"/>
              <w:jc w:val="center"/>
            </w:pPr>
            <w:r>
              <w:t>P</w:t>
            </w:r>
          </w:p>
        </w:tc>
        <w:tc>
          <w:tcPr>
            <w:tcW w:w="1701" w:type="dxa"/>
            <w:tcBorders>
              <w:top w:val="nil"/>
              <w:left w:val="single" w:sz="6" w:space="0" w:color="auto"/>
              <w:bottom w:val="single" w:sz="6" w:space="0" w:color="auto"/>
              <w:right w:val="single" w:sz="6" w:space="0" w:color="auto"/>
            </w:tcBorders>
            <w:hideMark/>
          </w:tcPr>
          <w:p>
            <w:pPr>
              <w:spacing w:line="276" w:lineRule="auto"/>
              <w:ind w:right="-70"/>
              <w:jc w:val="center"/>
              <w:rPr>
                <w:b/>
              </w:rPr>
            </w:pPr>
          </w:p>
        </w:tc>
        <w:tc>
          <w:tcPr>
            <w:tcW w:w="1701" w:type="dxa"/>
            <w:tcBorders>
              <w:top w:val="nil"/>
              <w:left w:val="single" w:sz="6" w:space="0" w:color="auto"/>
              <w:bottom w:val="single" w:sz="6" w:space="0" w:color="auto"/>
              <w:right w:val="single" w:sz="12" w:space="0" w:color="auto"/>
            </w:tcBorders>
          </w:tcPr>
          <w:p>
            <w:pPr>
              <w:spacing w:line="276" w:lineRule="auto"/>
              <w:ind w:right="-70"/>
              <w:jc w:val="center"/>
            </w:pPr>
            <w:r>
              <w:t>15</w:t>
            </w:r>
          </w:p>
        </w:tc>
      </w:tr>
      <w:tr>
        <w:tc>
          <w:tcPr>
            <w:tcW w:w="5457" w:type="dxa"/>
            <w:gridSpan w:val="2"/>
            <w:tcBorders>
              <w:top w:val="single" w:sz="12" w:space="0" w:color="auto"/>
              <w:left w:val="single" w:sz="12" w:space="0" w:color="auto"/>
              <w:bottom w:val="single" w:sz="12" w:space="0" w:color="auto"/>
              <w:right w:val="nil"/>
            </w:tcBorders>
            <w:hideMark/>
          </w:tcPr>
          <w:p>
            <w:pPr>
              <w:spacing w:line="276" w:lineRule="auto"/>
              <w:rPr>
                <w:b/>
              </w:rPr>
            </w:pPr>
            <w:r>
              <w:rPr>
                <w:b/>
              </w:rPr>
              <w:t>Total des périodes</w:t>
            </w:r>
          </w:p>
        </w:tc>
        <w:tc>
          <w:tcPr>
            <w:tcW w:w="1701" w:type="dxa"/>
            <w:tcBorders>
              <w:top w:val="single" w:sz="12" w:space="0" w:color="auto"/>
              <w:left w:val="nil"/>
              <w:bottom w:val="single" w:sz="12" w:space="0" w:color="auto"/>
              <w:right w:val="nil"/>
            </w:tcBorders>
          </w:tcPr>
          <w:p>
            <w:pPr>
              <w:spacing w:line="276" w:lineRule="auto"/>
              <w:jc w:val="center"/>
            </w:pPr>
          </w:p>
        </w:tc>
        <w:tc>
          <w:tcPr>
            <w:tcW w:w="1701" w:type="dxa"/>
            <w:tcBorders>
              <w:top w:val="single" w:sz="12" w:space="0" w:color="auto"/>
              <w:left w:val="single" w:sz="6" w:space="0" w:color="auto"/>
              <w:bottom w:val="single" w:sz="12" w:space="0" w:color="auto"/>
              <w:right w:val="single" w:sz="12" w:space="0" w:color="auto"/>
            </w:tcBorders>
            <w:hideMark/>
          </w:tcPr>
          <w:p>
            <w:pPr>
              <w:spacing w:line="276" w:lineRule="auto"/>
              <w:ind w:right="-70"/>
              <w:jc w:val="center"/>
              <w:rPr>
                <w:b/>
              </w:rPr>
            </w:pPr>
            <w:r>
              <w:rPr>
                <w:b/>
              </w:rPr>
              <w:t>75</w:t>
            </w:r>
          </w:p>
        </w:tc>
      </w:tr>
    </w:tbl>
    <w:p/>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8"/>
        <w:szCs w:val="18"/>
      </w:rPr>
      <w:id w:val="-5990284"/>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Relation soignant/soigné</w:t>
            </w:r>
            <w:r>
              <w:rPr>
                <w:color w:val="002060"/>
                <w:sz w:val="18"/>
                <w:szCs w:val="18"/>
              </w:rPr>
              <w:tab/>
            </w:r>
            <w:r>
              <w:rPr>
                <w:color w:val="002060"/>
                <w:sz w:val="18"/>
                <w:szCs w:val="18"/>
              </w:rPr>
              <w:tab/>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5</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5</w:t>
            </w:r>
            <w:r>
              <w:rPr>
                <w:bCs/>
                <w:color w:val="002060"/>
                <w:sz w:val="18"/>
                <w:szCs w:val="18"/>
              </w:rPr>
              <w:fldChar w:fldCharType="end"/>
            </w:r>
          </w:p>
        </w:sdtContent>
      </w:sdt>
    </w:sdtContent>
  </w:sdt>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B14FF72"/>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13C106A2"/>
    <w:multiLevelType w:val="hybridMultilevel"/>
    <w:tmpl w:val="834EDA38"/>
    <w:lvl w:ilvl="0" w:tplc="A5F063FE">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07C76"/>
    <w:multiLevelType w:val="hybridMultilevel"/>
    <w:tmpl w:val="7FC4023C"/>
    <w:lvl w:ilvl="0" w:tplc="01EAE9D2">
      <w:start w:val="1"/>
      <w:numFmt w:val="bullet"/>
      <w:lvlText w:val=""/>
      <w:lvlJc w:val="left"/>
      <w:pPr>
        <w:ind w:left="1080" w:hanging="360"/>
      </w:pPr>
      <w:rPr>
        <w:rFonts w:ascii="Symbol" w:hAnsi="Symbol" w:hint="default"/>
        <w:sz w:val="16"/>
        <w:szCs w:val="16"/>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start w:val="1"/>
      <w:numFmt w:val="bullet"/>
      <w:lvlText w:val=""/>
      <w:lvlJc w:val="left"/>
      <w:pPr>
        <w:tabs>
          <w:tab w:val="num" w:pos="2520"/>
        </w:tabs>
        <w:ind w:left="2520" w:hanging="360"/>
      </w:pPr>
      <w:rPr>
        <w:rFonts w:ascii="Symbol" w:hAnsi="Symbol" w:hint="default"/>
      </w:rPr>
    </w:lvl>
    <w:lvl w:ilvl="4" w:tplc="080C0003">
      <w:start w:val="1"/>
      <w:numFmt w:val="bullet"/>
      <w:lvlText w:val="o"/>
      <w:lvlJc w:val="left"/>
      <w:pPr>
        <w:tabs>
          <w:tab w:val="num" w:pos="3240"/>
        </w:tabs>
        <w:ind w:left="3240" w:hanging="360"/>
      </w:pPr>
      <w:rPr>
        <w:rFonts w:ascii="Courier New" w:hAnsi="Courier New" w:cs="Courier New" w:hint="default"/>
      </w:rPr>
    </w:lvl>
    <w:lvl w:ilvl="5" w:tplc="080C0005">
      <w:start w:val="1"/>
      <w:numFmt w:val="bullet"/>
      <w:lvlText w:val=""/>
      <w:lvlJc w:val="left"/>
      <w:pPr>
        <w:tabs>
          <w:tab w:val="num" w:pos="3960"/>
        </w:tabs>
        <w:ind w:left="3960" w:hanging="360"/>
      </w:pPr>
      <w:rPr>
        <w:rFonts w:ascii="Wingdings" w:hAnsi="Wingdings" w:hint="default"/>
      </w:rPr>
    </w:lvl>
    <w:lvl w:ilvl="6" w:tplc="080C0001">
      <w:start w:val="1"/>
      <w:numFmt w:val="bullet"/>
      <w:lvlText w:val=""/>
      <w:lvlJc w:val="left"/>
      <w:pPr>
        <w:tabs>
          <w:tab w:val="num" w:pos="4680"/>
        </w:tabs>
        <w:ind w:left="4680" w:hanging="360"/>
      </w:pPr>
      <w:rPr>
        <w:rFonts w:ascii="Symbol" w:hAnsi="Symbol" w:hint="default"/>
      </w:rPr>
    </w:lvl>
    <w:lvl w:ilvl="7" w:tplc="080C0003">
      <w:start w:val="1"/>
      <w:numFmt w:val="bullet"/>
      <w:lvlText w:val="o"/>
      <w:lvlJc w:val="left"/>
      <w:pPr>
        <w:tabs>
          <w:tab w:val="num" w:pos="5400"/>
        </w:tabs>
        <w:ind w:left="5400" w:hanging="360"/>
      </w:pPr>
      <w:rPr>
        <w:rFonts w:ascii="Courier New" w:hAnsi="Courier New" w:cs="Courier New" w:hint="default"/>
      </w:rPr>
    </w:lvl>
    <w:lvl w:ilvl="8" w:tplc="08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D094B"/>
    <w:multiLevelType w:val="hybridMultilevel"/>
    <w:tmpl w:val="1BB67C1C"/>
    <w:lvl w:ilvl="0" w:tplc="F3A83802">
      <w:start w:val="1"/>
      <w:numFmt w:val="bullet"/>
      <w:lvlText w:val=""/>
      <w:lvlJc w:val="left"/>
      <w:pPr>
        <w:ind w:left="1211" w:hanging="360"/>
      </w:pPr>
      <w:rPr>
        <w:rFonts w:ascii="Symbol" w:hAnsi="Symbol" w:hint="default"/>
        <w:sz w:val="22"/>
      </w:rPr>
    </w:lvl>
    <w:lvl w:ilvl="1" w:tplc="BBFC4650">
      <w:numFmt w:val="bullet"/>
      <w:lvlText w:val="-"/>
      <w:lvlJc w:val="left"/>
      <w:pPr>
        <w:ind w:left="1931" w:hanging="360"/>
      </w:pPr>
      <w:rPr>
        <w:rFonts w:ascii="Times New Roman" w:eastAsia="Times New Roman" w:hAnsi="Times New Roman" w:cs="Times New Roman"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7" w15:restartNumberingAfterBreak="0">
    <w:nsid w:val="3D0361C0"/>
    <w:multiLevelType w:val="hybridMultilevel"/>
    <w:tmpl w:val="DAF696FC"/>
    <w:lvl w:ilvl="0" w:tplc="AE28C8B8">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452D1C17"/>
    <w:multiLevelType w:val="hybridMultilevel"/>
    <w:tmpl w:val="CDEE9A2E"/>
    <w:lvl w:ilvl="0" w:tplc="52E6B73E">
      <w:start w:val="1"/>
      <w:numFmt w:val="bullet"/>
      <w:lvlText w:val=""/>
      <w:lvlJc w:val="left"/>
      <w:pPr>
        <w:ind w:left="1778" w:hanging="360"/>
      </w:pPr>
      <w:rPr>
        <w:rFonts w:ascii="Symbol" w:hAnsi="Symbol" w:hint="default"/>
        <w:sz w:val="16"/>
        <w:szCs w:val="16"/>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9"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B4969FE"/>
    <w:multiLevelType w:val="hybridMultilevel"/>
    <w:tmpl w:val="0504C2F8"/>
    <w:lvl w:ilvl="0" w:tplc="FFFFFFFF">
      <w:numFmt w:val="bullet"/>
      <w:lvlText w:val="♦"/>
      <w:lvlJc w:val="left"/>
      <w:pPr>
        <w:ind w:left="1080"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55C70AB5"/>
    <w:multiLevelType w:val="hybridMultilevel"/>
    <w:tmpl w:val="DED8A1B8"/>
    <w:lvl w:ilvl="0" w:tplc="6A3630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1069B"/>
    <w:multiLevelType w:val="hybridMultilevel"/>
    <w:tmpl w:val="24A41582"/>
    <w:lvl w:ilvl="0" w:tplc="6A3630FA">
      <w:start w:val="1"/>
      <w:numFmt w:val="bullet"/>
      <w:lvlText w:val=""/>
      <w:lvlJc w:val="left"/>
      <w:pPr>
        <w:tabs>
          <w:tab w:val="num" w:pos="0"/>
        </w:tabs>
        <w:ind w:left="720" w:hanging="360"/>
      </w:pPr>
      <w:rPr>
        <w:rFonts w:ascii="Symbol" w:hAnsi="Symbol" w:hint="default"/>
        <w:strike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80E4C"/>
    <w:multiLevelType w:val="hybridMultilevel"/>
    <w:tmpl w:val="FC308416"/>
    <w:lvl w:ilvl="0" w:tplc="2D72F6C2">
      <w:numFmt w:val="bullet"/>
      <w:lvlText w:val="-"/>
      <w:lvlJc w:val="left"/>
      <w:pPr>
        <w:ind w:left="1353" w:hanging="360"/>
      </w:pPr>
      <w:rPr>
        <w:rFonts w:ascii="Times New Roman" w:eastAsia="Times New Roman" w:hAnsi="Times New Roman" w:cs="Times New Roman"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5" w15:restartNumberingAfterBreak="0">
    <w:nsid w:val="6BB556E9"/>
    <w:multiLevelType w:val="multilevel"/>
    <w:tmpl w:val="C304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9C149D"/>
    <w:multiLevelType w:val="multilevel"/>
    <w:tmpl w:val="783629F0"/>
    <w:lvl w:ilvl="0">
      <w:start w:val="4"/>
      <w:numFmt w:val="decimal"/>
      <w:lvlText w:val="%1."/>
      <w:lvlJc w:val="left"/>
      <w:pPr>
        <w:tabs>
          <w:tab w:val="num" w:pos="720"/>
        </w:tabs>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15:restartNumberingAfterBreak="0">
    <w:nsid w:val="7CAF297A"/>
    <w:multiLevelType w:val="hybridMultilevel"/>
    <w:tmpl w:val="B9FEC7EA"/>
    <w:lvl w:ilvl="0" w:tplc="9C68C7F4">
      <w:start w:val="1"/>
      <w:numFmt w:val="bullet"/>
      <w:lvlText w:val=""/>
      <w:lvlJc w:val="left"/>
      <w:pPr>
        <w:ind w:left="720" w:hanging="360"/>
      </w:pPr>
      <w:rPr>
        <w:rFonts w:ascii="Symbol" w:hAnsi="Symbol" w:hint="default"/>
        <w:strike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72CB6"/>
    <w:multiLevelType w:val="multilevel"/>
    <w:tmpl w:val="C1880C92"/>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13"/>
  </w:num>
  <w:num w:numId="10">
    <w:abstractNumId w:val="10"/>
  </w:num>
  <w:num w:numId="11">
    <w:abstractNumId w:val="11"/>
  </w:num>
  <w:num w:numId="12">
    <w:abstractNumId w:val="15"/>
  </w:num>
  <w:num w:numId="13">
    <w:abstractNumId w:val="8"/>
  </w:num>
  <w:num w:numId="14">
    <w:abstractNumId w:val="0"/>
  </w:num>
  <w:num w:numId="15">
    <w:abstractNumId w:val="14"/>
  </w:num>
  <w:num w:numId="16">
    <w:abstractNumId w:val="5"/>
  </w:num>
  <w:num w:numId="17">
    <w:abstractNumId w:val="1"/>
  </w:num>
  <w:num w:numId="18">
    <w:abstractNumId w:val="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9B029-48F2-4001-80BB-51B3759F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semiHidden/>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semiHidden/>
    <w:rPr>
      <w:rFonts w:ascii="Times New Roman" w:eastAsia="Times New Roman" w:hAnsi="Times New Roman" w:cs="Times New Roman"/>
      <w:b/>
      <w:lang w:val="fr-FR" w:eastAsia="fr-FR"/>
    </w:rPr>
  </w:style>
  <w:style w:type="paragraph" w:styleId="Notedebasdepage">
    <w:name w:val="footnote text"/>
    <w:basedOn w:val="Normal"/>
    <w:link w:val="NotedebasdepageCar"/>
    <w:semiHidden/>
    <w:unhideWhenUsed/>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Listepuces2">
    <w:name w:val="List Bullet 2"/>
    <w:basedOn w:val="Normal"/>
    <w:semiHidden/>
    <w:unhideWhenUsed/>
    <w:pPr>
      <w:numPr>
        <w:numId w:val="1"/>
      </w:numPr>
      <w:autoSpaceDE/>
      <w:autoSpaceDN/>
      <w:spacing w:before="120"/>
    </w:p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40526">
      <w:bodyDiv w:val="1"/>
      <w:marLeft w:val="0"/>
      <w:marRight w:val="0"/>
      <w:marTop w:val="0"/>
      <w:marBottom w:val="0"/>
      <w:divBdr>
        <w:top w:val="none" w:sz="0" w:space="0" w:color="auto"/>
        <w:left w:val="none" w:sz="0" w:space="0" w:color="auto"/>
        <w:bottom w:val="none" w:sz="0" w:space="0" w:color="auto"/>
        <w:right w:val="none" w:sz="0" w:space="0" w:color="auto"/>
      </w:divBdr>
    </w:div>
    <w:div w:id="949898678">
      <w:bodyDiv w:val="1"/>
      <w:marLeft w:val="0"/>
      <w:marRight w:val="0"/>
      <w:marTop w:val="0"/>
      <w:marBottom w:val="0"/>
      <w:divBdr>
        <w:top w:val="none" w:sz="0" w:space="0" w:color="auto"/>
        <w:left w:val="none" w:sz="0" w:space="0" w:color="auto"/>
        <w:bottom w:val="none" w:sz="0" w:space="0" w:color="auto"/>
        <w:right w:val="none" w:sz="0" w:space="0" w:color="auto"/>
      </w:divBdr>
      <w:divsChild>
        <w:div w:id="1565991069">
          <w:marLeft w:val="0"/>
          <w:marRight w:val="0"/>
          <w:marTop w:val="0"/>
          <w:marBottom w:val="0"/>
          <w:divBdr>
            <w:top w:val="none" w:sz="0" w:space="0" w:color="auto"/>
            <w:left w:val="none" w:sz="0" w:space="0" w:color="auto"/>
            <w:bottom w:val="none" w:sz="0" w:space="0" w:color="auto"/>
            <w:right w:val="none" w:sz="0" w:space="0" w:color="auto"/>
          </w:divBdr>
          <w:divsChild>
            <w:div w:id="1222642387">
              <w:marLeft w:val="0"/>
              <w:marRight w:val="0"/>
              <w:marTop w:val="435"/>
              <w:marBottom w:val="300"/>
              <w:divBdr>
                <w:top w:val="none" w:sz="0" w:space="0" w:color="auto"/>
                <w:left w:val="none" w:sz="0" w:space="0" w:color="auto"/>
                <w:bottom w:val="none" w:sz="0" w:space="0" w:color="auto"/>
                <w:right w:val="none" w:sz="0" w:space="0" w:color="auto"/>
              </w:divBdr>
              <w:divsChild>
                <w:div w:id="15365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lemoine</dc:creator>
  <cp:keywords/>
  <dc:description/>
  <cp:lastModifiedBy>goulet02</cp:lastModifiedBy>
  <cp:revision>14</cp:revision>
  <dcterms:created xsi:type="dcterms:W3CDTF">2017-01-23T13:23:00Z</dcterms:created>
  <dcterms:modified xsi:type="dcterms:W3CDTF">2017-08-23T08:50:00Z</dcterms:modified>
</cp:coreProperties>
</file>