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re"/>
      </w:pPr>
      <w:r>
        <w:t>MINISTERE DE LA COMMUNAUTE FRANCAISE</w:t>
      </w:r>
    </w:p>
    <w:p>
      <w:pPr>
        <w:jc w:val="center"/>
        <w:rPr>
          <w:b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ADMINISTRATION GENERALE DE L’ENSEIGNEMENT</w:t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left="2269" w:right="2602"/>
        <w:jc w:val="center"/>
        <w:rPr>
          <w:b/>
          <w:sz w:val="28"/>
        </w:rPr>
      </w:pPr>
    </w:p>
    <w:p>
      <w:pPr>
        <w:ind w:left="2269" w:right="2602"/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>
      <w:pPr>
        <w:ind w:left="2269" w:right="2602"/>
        <w:jc w:val="center"/>
        <w:rPr>
          <w:b/>
          <w:sz w:val="28"/>
        </w:rPr>
      </w:pPr>
    </w:p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 D’ENSEIGNEMENT</w:t>
      </w:r>
    </w:p>
    <w:p>
      <w:pPr>
        <w:jc w:val="center"/>
      </w:pPr>
    </w:p>
    <w:p>
      <w:pPr>
        <w:jc w:val="center"/>
      </w:pPr>
    </w:p>
    <w:p>
      <w:pPr>
        <w:pStyle w:val="Titre4"/>
      </w:pPr>
      <w:r>
        <w:t>PREMIERS SECOURS (CONVENTION)</w:t>
      </w:r>
    </w:p>
    <w:p>
      <w:pPr>
        <w:jc w:val="center"/>
      </w:pPr>
    </w:p>
    <w:p>
      <w:pPr>
        <w:pStyle w:val="Titre5"/>
      </w:pPr>
      <w:r>
        <w:t xml:space="preserve">ENSEIGNEMENT SECONDAIRE SUPERIEUR DE TRANSITION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</w:tcPr>
          <w:p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CODE: </w:t>
            </w:r>
            <w:r>
              <w:rPr>
                <w:b/>
              </w:rPr>
              <w:t>82 41 26 U21 V2</w:t>
            </w:r>
          </w:p>
        </w:tc>
      </w:tr>
      <w:tr>
        <w:trPr>
          <w:jc w:val="center"/>
        </w:trPr>
        <w:tc>
          <w:tcPr>
            <w:tcW w:w="552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DOMAINE DE FORMATION : 803</w:t>
            </w:r>
          </w:p>
        </w:tc>
      </w:tr>
      <w:tr>
        <w:trPr>
          <w:jc w:val="center"/>
        </w:trPr>
        <w:tc>
          <w:tcPr>
            <w:tcW w:w="552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DOCUMENT DE REFERENCE INTER-RESEAUX</w:t>
            </w:r>
          </w:p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13 juillet 2020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>
            <w:pPr>
              <w:pStyle w:val="Titre3"/>
              <w:jc w:val="center"/>
            </w:pPr>
            <w:r>
              <w:t>PREMIERS SECOURS (CONVENTION)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SECONDAIRE SUPERIEUR DE TRANSITION </w:t>
            </w:r>
          </w:p>
          <w:p>
            <w:pPr>
              <w:jc w:val="center"/>
              <w:rPr>
                <w:b/>
              </w:rPr>
            </w:pPr>
          </w:p>
        </w:tc>
      </w:tr>
    </w:tbl>
    <w:p/>
    <w:p>
      <w:pPr>
        <w:numPr>
          <w:ilvl w:val="0"/>
          <w:numId w:val="1"/>
        </w:numPr>
        <w:tabs>
          <w:tab w:val="num" w:pos="1416"/>
        </w:tabs>
        <w:spacing w:before="120" w:after="120"/>
        <w:jc w:val="both"/>
        <w:rPr>
          <w:b/>
        </w:rPr>
      </w:pPr>
      <w:r>
        <w:rPr>
          <w:b/>
        </w:rPr>
        <w:t>FINALITES DE L’UNITE D’ENSEIGNEMENT</w:t>
      </w:r>
    </w:p>
    <w:p>
      <w:pPr>
        <w:numPr>
          <w:ilvl w:val="1"/>
          <w:numId w:val="1"/>
        </w:numPr>
        <w:tabs>
          <w:tab w:val="clear" w:pos="1080"/>
          <w:tab w:val="left" w:pos="851"/>
        </w:tabs>
        <w:spacing w:before="120" w:after="120"/>
        <w:ind w:left="851" w:hanging="425"/>
        <w:jc w:val="both"/>
        <w:rPr>
          <w:b/>
        </w:rPr>
      </w:pPr>
      <w:r>
        <w:rPr>
          <w:b/>
        </w:rPr>
        <w:t>Finalités générales</w:t>
      </w:r>
    </w:p>
    <w:p>
      <w:pPr>
        <w:pStyle w:val="Retraitcorpsdetexte2"/>
        <w:spacing w:after="120"/>
        <w:ind w:left="851"/>
      </w:pPr>
      <w:r>
        <w:t>Conformément à l’article 7 du décret de la Communauté française du 16 avril 1991 organisant l’Enseignement de promotion sociale, cette unité d’enseignement doit :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</w:pPr>
      <w:r>
        <w:t>concourir à l’épanouissement individuel en promouvant une meilleure insertion professionnelle, sociale et culturelle ;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</w:pPr>
      <w: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"/>
          <w:numId w:val="1"/>
        </w:numPr>
        <w:tabs>
          <w:tab w:val="clear" w:pos="1080"/>
          <w:tab w:val="left" w:pos="851"/>
        </w:tabs>
        <w:spacing w:after="120"/>
        <w:ind w:left="851" w:hanging="425"/>
        <w:jc w:val="both"/>
        <w:rPr>
          <w:b/>
        </w:rPr>
      </w:pPr>
      <w:r>
        <w:rPr>
          <w:b/>
        </w:rPr>
        <w:t>Finalités particulières</w:t>
      </w:r>
    </w:p>
    <w:p>
      <w:pPr>
        <w:pStyle w:val="Retraitcorpsdetexte2"/>
        <w:spacing w:after="120"/>
        <w:ind w:left="851"/>
        <w:rPr>
          <w:strike/>
        </w:rPr>
      </w:pPr>
      <w:r>
        <w:t>Cette</w:t>
      </w:r>
      <w:r>
        <w:rPr>
          <w:color w:val="000000"/>
        </w:rPr>
        <w:t xml:space="preserve"> unité d’enseignement vise à permettre à l’étudiant</w:t>
      </w:r>
      <w:r>
        <w:t xml:space="preserve"> d’acquérir les connaissances techniques</w:t>
      </w:r>
      <w:r>
        <w:rPr>
          <w:color w:val="7030A0"/>
        </w:rPr>
        <w:t xml:space="preserve"> </w:t>
      </w:r>
      <w:r>
        <w:t>et les pratiques de base liées au secourisme, y compris celles liées à la réanimation cardiopulmonaire et la défibrillation externe automatique.</w:t>
      </w:r>
    </w:p>
    <w:p>
      <w:pPr>
        <w:pStyle w:val="Retraitcorpsdetexte2"/>
        <w:spacing w:after="120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CAPACITES PREALABLES REQUISES</w:t>
      </w:r>
    </w:p>
    <w:p>
      <w:pPr>
        <w:numPr>
          <w:ilvl w:val="1"/>
          <w:numId w:val="1"/>
        </w:numPr>
        <w:tabs>
          <w:tab w:val="clear" w:pos="1080"/>
          <w:tab w:val="left" w:pos="851"/>
        </w:tabs>
        <w:spacing w:after="120"/>
        <w:ind w:left="851" w:hanging="425"/>
        <w:jc w:val="both"/>
        <w:rPr>
          <w:b/>
        </w:rPr>
      </w:pPr>
      <w:r>
        <w:rPr>
          <w:b/>
        </w:rPr>
        <w:t>Capacités</w:t>
      </w:r>
    </w:p>
    <w:p>
      <w:pPr>
        <w:tabs>
          <w:tab w:val="num" w:pos="1134"/>
        </w:tabs>
        <w:spacing w:after="120"/>
        <w:ind w:left="851"/>
        <w:jc w:val="both"/>
        <w:rPr>
          <w:rFonts w:eastAsia="SimSun"/>
          <w:b/>
          <w:lang w:eastAsia="fr-BE"/>
        </w:rPr>
      </w:pPr>
      <w:r>
        <w:rPr>
          <w:rFonts w:eastAsia="SimSun"/>
          <w:b/>
          <w:lang w:eastAsia="fr-BE"/>
        </w:rPr>
        <w:t>En français,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lang w:eastAsia="fr-BE"/>
        </w:rPr>
      </w:pPr>
      <w:r>
        <w:rPr>
          <w:rFonts w:eastAsia="SimSun"/>
          <w:lang w:eastAsia="fr-BE"/>
        </w:rPr>
        <w:t>réaliser une synthèse d’un texte écrit (+/- 30 lignes) dans un langage usuel et répondre à des questions sur le fond ;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lang w:eastAsia="fr-BE"/>
        </w:rPr>
      </w:pPr>
      <w:r>
        <w:rPr>
          <w:rFonts w:eastAsia="SimSun"/>
          <w:lang w:eastAsia="fr-BE"/>
        </w:rPr>
        <w:t>exprimer oralement de manière cohérente et structurée, un commentaire personnel à propos d’un document ayant trait au secteur professionnel.</w:t>
      </w:r>
    </w:p>
    <w:p>
      <w:pPr>
        <w:tabs>
          <w:tab w:val="num" w:pos="1134"/>
        </w:tabs>
        <w:spacing w:after="120"/>
        <w:ind w:left="851"/>
        <w:jc w:val="both"/>
        <w:rPr>
          <w:rFonts w:eastAsia="SimSun"/>
          <w:b/>
          <w:lang w:eastAsia="fr-BE"/>
        </w:rPr>
      </w:pPr>
      <w:r>
        <w:rPr>
          <w:rFonts w:eastAsia="SimSun"/>
          <w:b/>
          <w:lang w:eastAsia="fr-BE"/>
        </w:rPr>
        <w:t>En mathématique,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lang w:eastAsia="fr-BE"/>
        </w:rPr>
      </w:pPr>
      <w:r>
        <w:rPr>
          <w:rFonts w:eastAsia="SimSun"/>
          <w:lang w:eastAsia="fr-BE"/>
        </w:rPr>
        <w:t>effectuer des calculs mettant en jeu les quatre opérations fondamentales ;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lang w:eastAsia="fr-BE"/>
        </w:rPr>
      </w:pPr>
      <w:r>
        <w:rPr>
          <w:rFonts w:eastAsia="SimSun"/>
          <w:lang w:eastAsia="fr-BE"/>
        </w:rPr>
        <w:t>effectuer des pourcentages et appliquer la règle de trois ;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lang w:eastAsia="fr-BE"/>
        </w:rPr>
      </w:pPr>
      <w:r>
        <w:t>utiliser le système métrique (prise de mesures et conversions) ;</w:t>
      </w:r>
    </w:p>
    <w:p>
      <w:pPr>
        <w:numPr>
          <w:ilvl w:val="0"/>
          <w:numId w:val="2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lang w:eastAsia="fr-BE"/>
        </w:rPr>
      </w:pPr>
      <w:r>
        <w:rPr>
          <w:rFonts w:eastAsia="SimSun"/>
          <w:lang w:eastAsia="fr-BE"/>
        </w:rPr>
        <w:t>calculer les aires et volumes de formes géométriques simples.</w:t>
      </w:r>
    </w:p>
    <w:p>
      <w:pPr>
        <w:numPr>
          <w:ilvl w:val="1"/>
          <w:numId w:val="1"/>
        </w:numPr>
        <w:tabs>
          <w:tab w:val="clear" w:pos="1080"/>
          <w:tab w:val="left" w:pos="851"/>
        </w:tabs>
        <w:spacing w:after="120"/>
        <w:ind w:left="851" w:hanging="425"/>
        <w:jc w:val="both"/>
        <w:rPr>
          <w:b/>
        </w:rPr>
      </w:pPr>
      <w:r>
        <w:rPr>
          <w:b/>
        </w:rPr>
        <w:t>Titre pouvant en tenir lieu</w:t>
      </w:r>
    </w:p>
    <w:p>
      <w:pPr>
        <w:spacing w:after="120"/>
        <w:ind w:left="851"/>
        <w:jc w:val="both"/>
      </w:pPr>
      <w:r>
        <w:t>Certificat de l’enseignement secondaire inférieur ou certificat de l’enseignement secondaire du deuxième degré (CESI ou C2D).</w:t>
      </w:r>
    </w:p>
    <w:p>
      <w:pPr>
        <w:spacing w:after="120"/>
        <w:ind w:left="426" w:firstLine="425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ACQUIS D’APPRENTISSAGE</w:t>
      </w:r>
    </w:p>
    <w:p>
      <w:pPr>
        <w:spacing w:after="120"/>
        <w:ind w:left="426"/>
        <w:jc w:val="both"/>
        <w:rPr>
          <w:b/>
        </w:rPr>
      </w:pPr>
      <w:r>
        <w:rPr>
          <w:b/>
        </w:rPr>
        <w:t>Pour atteindre le seuil de réussite, l’étudiant sera capable :</w:t>
      </w:r>
    </w:p>
    <w:p>
      <w:pPr>
        <w:spacing w:after="120"/>
        <w:ind w:left="426"/>
        <w:jc w:val="both"/>
        <w:rPr>
          <w:i/>
          <w:iCs/>
        </w:rPr>
      </w:pPr>
      <w:proofErr w:type="gramStart"/>
      <w:r>
        <w:rPr>
          <w:i/>
          <w:iCs/>
        </w:rPr>
        <w:t>face</w:t>
      </w:r>
      <w:proofErr w:type="gramEnd"/>
      <w:r>
        <w:rPr>
          <w:i/>
          <w:iCs/>
        </w:rPr>
        <w:t xml:space="preserve"> à une situation fictive d’accident et/ou de malaise d’une victime, quel que soit son âge, </w:t>
      </w:r>
    </w:p>
    <w:p>
      <w:pPr>
        <w:numPr>
          <w:ilvl w:val="0"/>
          <w:numId w:val="29"/>
        </w:numPr>
        <w:spacing w:after="120"/>
        <w:ind w:left="709" w:hanging="283"/>
        <w:jc w:val="both"/>
        <w:rPr>
          <w:iCs/>
        </w:rPr>
      </w:pPr>
      <w:r>
        <w:rPr>
          <w:iCs/>
        </w:rPr>
        <w:t>de réaliser un bilan global de la situation et de mettre en œuvre les règles essentielles d’intervention ;</w:t>
      </w:r>
    </w:p>
    <w:p>
      <w:pPr>
        <w:numPr>
          <w:ilvl w:val="0"/>
          <w:numId w:val="29"/>
        </w:numPr>
        <w:spacing w:after="120"/>
        <w:ind w:left="709" w:hanging="283"/>
        <w:jc w:val="both"/>
        <w:rPr>
          <w:iCs/>
        </w:rPr>
      </w:pPr>
      <w:r>
        <w:rPr>
          <w:iCs/>
        </w:rPr>
        <w:lastRenderedPageBreak/>
        <w:t>d’effectuer la prise en charge de la victime dans le cadre des premiers secours, selon les normes en vigueur :</w:t>
      </w:r>
    </w:p>
    <w:p>
      <w:pPr>
        <w:numPr>
          <w:ilvl w:val="0"/>
          <w:numId w:val="38"/>
        </w:numPr>
        <w:spacing w:after="120"/>
        <w:ind w:left="1134" w:hanging="425"/>
        <w:jc w:val="both"/>
        <w:rPr>
          <w:iCs/>
        </w:rPr>
      </w:pPr>
      <w:r>
        <w:rPr>
          <w:iCs/>
        </w:rPr>
        <w:t>adopter des attitudes respectueuses et adaptées à la situation et à la victime,</w:t>
      </w:r>
    </w:p>
    <w:p>
      <w:pPr>
        <w:numPr>
          <w:ilvl w:val="0"/>
          <w:numId w:val="38"/>
        </w:numPr>
        <w:spacing w:after="120"/>
        <w:ind w:left="1134" w:hanging="425"/>
        <w:jc w:val="both"/>
        <w:rPr>
          <w:iCs/>
        </w:rPr>
      </w:pPr>
      <w:r>
        <w:rPr>
          <w:iCs/>
        </w:rPr>
        <w:t>réaliser un bilan vital de la victime,</w:t>
      </w:r>
    </w:p>
    <w:p>
      <w:pPr>
        <w:numPr>
          <w:ilvl w:val="0"/>
          <w:numId w:val="38"/>
        </w:numPr>
        <w:spacing w:after="120"/>
        <w:ind w:left="1134" w:hanging="425"/>
        <w:jc w:val="both"/>
        <w:rPr>
          <w:iCs/>
        </w:rPr>
      </w:pPr>
      <w:r>
        <w:rPr>
          <w:iCs/>
        </w:rPr>
        <w:t>faire appel aux renforts/secours spécialisés si nécessaire,</w:t>
      </w:r>
    </w:p>
    <w:p>
      <w:pPr>
        <w:numPr>
          <w:ilvl w:val="0"/>
          <w:numId w:val="38"/>
        </w:numPr>
        <w:spacing w:after="120"/>
        <w:ind w:left="1134" w:hanging="425"/>
        <w:jc w:val="both"/>
        <w:rPr>
          <w:iCs/>
        </w:rPr>
      </w:pPr>
      <w:r>
        <w:rPr>
          <w:iCs/>
        </w:rPr>
        <w:t>assurer le maintien des fonctions vitales en attendant les secours spécialisés,</w:t>
      </w:r>
    </w:p>
    <w:p>
      <w:pPr>
        <w:numPr>
          <w:ilvl w:val="0"/>
          <w:numId w:val="38"/>
        </w:numPr>
        <w:spacing w:after="120"/>
        <w:ind w:left="1134" w:hanging="425"/>
        <w:jc w:val="both"/>
        <w:rPr>
          <w:iCs/>
        </w:rPr>
      </w:pPr>
      <w:r>
        <w:rPr>
          <w:iCs/>
        </w:rPr>
        <w:t>réaliser une réanimation cardio-pulmonaire (RCP) avec utilisation d’un appareil de défibrillation externe automatisé (DEA) ;</w:t>
      </w:r>
    </w:p>
    <w:p>
      <w:pPr>
        <w:numPr>
          <w:ilvl w:val="0"/>
          <w:numId w:val="38"/>
        </w:numPr>
        <w:spacing w:after="120"/>
        <w:ind w:left="1134" w:hanging="425"/>
        <w:jc w:val="both"/>
        <w:rPr>
          <w:iCs/>
        </w:rPr>
      </w:pPr>
      <w:r>
        <w:rPr>
          <w:iCs/>
        </w:rPr>
        <w:t>administrer les premiers soins de base.</w:t>
      </w:r>
    </w:p>
    <w:p>
      <w:pPr>
        <w:spacing w:after="120"/>
        <w:ind w:left="426"/>
        <w:jc w:val="both"/>
        <w:rPr>
          <w:b/>
        </w:rPr>
      </w:pPr>
      <w:r>
        <w:rPr>
          <w:b/>
        </w:rPr>
        <w:t>Pour la détermination du degré de maîtrise, il sera tenu compte des critères suivants :</w:t>
      </w:r>
    </w:p>
    <w:p>
      <w:pPr>
        <w:numPr>
          <w:ilvl w:val="0"/>
          <w:numId w:val="37"/>
        </w:numPr>
        <w:shd w:val="clear" w:color="auto" w:fill="FFFFFF"/>
        <w:tabs>
          <w:tab w:val="num" w:pos="709"/>
        </w:tabs>
        <w:autoSpaceDE/>
        <w:autoSpaceDN/>
        <w:spacing w:after="120"/>
        <w:jc w:val="both"/>
        <w:rPr>
          <w:color w:val="000000"/>
        </w:rPr>
      </w:pPr>
      <w:r>
        <w:rPr>
          <w:color w:val="000000"/>
        </w:rPr>
        <w:t>le niveau de cohérence : la capacité à établir une majorité de liens logiques pour organiser son intervention de manière efficiente ;</w:t>
      </w:r>
    </w:p>
    <w:p>
      <w:pPr>
        <w:numPr>
          <w:ilvl w:val="0"/>
          <w:numId w:val="37"/>
        </w:numPr>
        <w:shd w:val="clear" w:color="auto" w:fill="FFFFFF"/>
        <w:tabs>
          <w:tab w:val="num" w:pos="709"/>
        </w:tabs>
        <w:autoSpaceDE/>
        <w:autoSpaceDN/>
        <w:spacing w:after="120"/>
        <w:jc w:val="both"/>
        <w:rPr>
          <w:color w:val="000000"/>
        </w:rPr>
      </w:pPr>
      <w:r>
        <w:rPr>
          <w:color w:val="000000"/>
        </w:rPr>
        <w:t>le niveau de précision : la clarté et la rigueur au niveau de la terminologie, des concepts et des techniques/principes/modèles ;</w:t>
      </w:r>
    </w:p>
    <w:p>
      <w:pPr>
        <w:numPr>
          <w:ilvl w:val="0"/>
          <w:numId w:val="37"/>
        </w:numPr>
        <w:shd w:val="clear" w:color="auto" w:fill="FFFFFF"/>
        <w:tabs>
          <w:tab w:val="num" w:pos="709"/>
        </w:tabs>
        <w:autoSpaceDE/>
        <w:autoSpaceDN/>
        <w:spacing w:after="120"/>
        <w:jc w:val="both"/>
        <w:rPr>
          <w:color w:val="000000"/>
        </w:rPr>
      </w:pPr>
      <w:r>
        <w:rPr>
          <w:color w:val="000000"/>
        </w:rPr>
        <w:t>le niveau d’intégration : la capacité à s’approprier des notions, concepts, techniques et démarches en les intégrant dans son analyse, son argumentation, sa pratique ou la recherche de solutions.</w:t>
      </w:r>
    </w:p>
    <w:p>
      <w:pPr>
        <w:spacing w:after="120"/>
        <w:ind w:left="426" w:firstLine="425"/>
        <w:jc w:val="both"/>
      </w:pPr>
    </w:p>
    <w:p>
      <w:pPr>
        <w:spacing w:after="120"/>
        <w:ind w:left="426"/>
        <w:jc w:val="both"/>
      </w:pPr>
      <w:r>
        <w:rPr>
          <w:i/>
        </w:rPr>
        <w:t>En référence à l’article 8 du Décret du 16 avril 1991 organisant l’enseignement de promotion sociale, les détenteurs</w:t>
      </w:r>
      <w:r>
        <w:t> :</w:t>
      </w:r>
    </w:p>
    <w:p>
      <w:pPr>
        <w:numPr>
          <w:ilvl w:val="0"/>
          <w:numId w:val="36"/>
        </w:numPr>
        <w:spacing w:after="120"/>
        <w:ind w:left="709" w:hanging="283"/>
        <w:jc w:val="both"/>
      </w:pPr>
      <w:r>
        <w:t>d’un brevet de secouriste-ambulancier délivré par un organisme agréé par la Santé publique, obtenu dans les cinq ans qui précèdent le début de l’unité d’enseignement ;</w:t>
      </w:r>
    </w:p>
    <w:p>
      <w:pPr>
        <w:numPr>
          <w:ilvl w:val="0"/>
          <w:numId w:val="36"/>
        </w:numPr>
        <w:spacing w:after="120"/>
        <w:ind w:left="709" w:hanging="283"/>
        <w:jc w:val="both"/>
      </w:pPr>
      <w:r>
        <w:t>d’un brevet de secouriste intégrant une évaluation certificative obtenu dans les cinq ans qui précèdent le début de l’unité d’enseignement ;</w:t>
      </w:r>
    </w:p>
    <w:p>
      <w:pPr>
        <w:numPr>
          <w:ilvl w:val="0"/>
          <w:numId w:val="36"/>
        </w:numPr>
        <w:spacing w:after="120"/>
        <w:ind w:left="709" w:hanging="283"/>
        <w:jc w:val="both"/>
      </w:pPr>
      <w:r>
        <w:t>du titre de brevet d’infirmier hospitalier ou d’infirmier bachelier ou gradué ;</w:t>
      </w:r>
    </w:p>
    <w:p>
      <w:pPr>
        <w:spacing w:after="120"/>
        <w:ind w:left="426"/>
        <w:jc w:val="both"/>
        <w:rPr>
          <w:i/>
        </w:rPr>
      </w:pPr>
      <w:proofErr w:type="gramStart"/>
      <w:r>
        <w:rPr>
          <w:i/>
        </w:rPr>
        <w:t>peuvent</w:t>
      </w:r>
      <w:proofErr w:type="gramEnd"/>
      <w:r>
        <w:rPr>
          <w:i/>
        </w:rPr>
        <w:t xml:space="preserve"> obtenir une reconnaissance de capacités acquises pour la sanction de l’UE « Premiers secours (convention)».</w:t>
      </w:r>
    </w:p>
    <w:p>
      <w:pPr>
        <w:spacing w:after="120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 xml:space="preserve">PROGRAMME </w:t>
      </w:r>
    </w:p>
    <w:p>
      <w:pPr>
        <w:spacing w:after="120"/>
        <w:ind w:left="360"/>
        <w:jc w:val="both"/>
      </w:pPr>
      <w:r>
        <w:t>L’étudiant sera capable :</w:t>
      </w:r>
    </w:p>
    <w:p>
      <w:pPr>
        <w:spacing w:after="120"/>
        <w:ind w:firstLine="360"/>
        <w:jc w:val="both"/>
        <w:rPr>
          <w:i/>
          <w:iCs/>
        </w:rPr>
      </w:pPr>
      <w:proofErr w:type="gramStart"/>
      <w:r>
        <w:rPr>
          <w:i/>
          <w:iCs/>
        </w:rPr>
        <w:t>au</w:t>
      </w:r>
      <w:proofErr w:type="gramEnd"/>
      <w:r>
        <w:rPr>
          <w:i/>
          <w:iCs/>
        </w:rPr>
        <w:t xml:space="preserve"> départ de situations fictives d’accident et/ou de malaise d’une victime, quel que soit son âge, </w:t>
      </w:r>
    </w:p>
    <w:p>
      <w:pPr>
        <w:spacing w:after="120"/>
        <w:ind w:left="426"/>
        <w:jc w:val="both"/>
        <w:rPr>
          <w:b/>
        </w:rPr>
      </w:pPr>
      <w:r>
        <w:rPr>
          <w:b/>
        </w:rPr>
        <w:t>4.1 Contextes généraux d’intervention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définir les principaux éléments du cadre légal et réglementaire régissant l’ambulancier de  transport non urgent de patients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définir la chaîne de survie et les règles essentielles d’intervention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reconnaître une situation d’urgence nécessitant l’appel de renforts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décrire la procédure pour faire appel, si nécessaire, à des renforts/secours spécialisés.</w:t>
      </w:r>
    </w:p>
    <w:p>
      <w:pPr>
        <w:spacing w:after="120"/>
        <w:ind w:left="426"/>
        <w:jc w:val="both"/>
        <w:rPr>
          <w:b/>
          <w:strike/>
        </w:rPr>
      </w:pPr>
      <w:r>
        <w:rPr>
          <w:b/>
        </w:rPr>
        <w:t>4.2 Premiers</w:t>
      </w:r>
      <w:r>
        <w:rPr>
          <w:b/>
          <w:color w:val="7030A0"/>
        </w:rPr>
        <w:t xml:space="preserve"> </w:t>
      </w:r>
      <w:r>
        <w:rPr>
          <w:b/>
        </w:rPr>
        <w:t>secours et réanimation cardio-pulmonaire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reconnaitre le malaise présenté par la victime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réaliser l’approche d’une victime</w:t>
      </w:r>
      <w:r>
        <w:rPr>
          <w:color w:val="7030A0"/>
        </w:rPr>
        <w:t xml:space="preserve"> </w:t>
      </w:r>
      <w:r>
        <w:t xml:space="preserve">inconsciente ; 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lastRenderedPageBreak/>
        <w:t>d’adopter des attitudes respectueuses et adéquates face à la situation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reconnaitre l’état de mort apparente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réagir adéquatement face au malaise cardio-pulmonaire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réaliser une réanimation cardio-pulmonaire (RCP) en utilisant un défibrillateur externe automatique (DEA)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mettre la victime en position adéquate en fonction de son état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d’arrêter une hémorragie externe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pratiquer une désobstruction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de prodiguer les premiers soins en cas :</w:t>
      </w:r>
    </w:p>
    <w:p>
      <w:pPr>
        <w:numPr>
          <w:ilvl w:val="1"/>
          <w:numId w:val="38"/>
        </w:numPr>
        <w:spacing w:after="120"/>
        <w:ind w:left="1418" w:hanging="284"/>
        <w:jc w:val="both"/>
      </w:pPr>
      <w:r>
        <w:t>de plaies, piqûres, morsures …,</w:t>
      </w:r>
    </w:p>
    <w:p>
      <w:pPr>
        <w:numPr>
          <w:ilvl w:val="1"/>
          <w:numId w:val="38"/>
        </w:numPr>
        <w:spacing w:after="120"/>
        <w:ind w:left="1418" w:hanging="284"/>
        <w:jc w:val="both"/>
      </w:pPr>
      <w:r>
        <w:t xml:space="preserve">de brûlure, </w:t>
      </w:r>
    </w:p>
    <w:p>
      <w:pPr>
        <w:numPr>
          <w:ilvl w:val="1"/>
          <w:numId w:val="38"/>
        </w:numPr>
        <w:spacing w:after="120"/>
        <w:ind w:left="1418" w:hanging="284"/>
        <w:jc w:val="both"/>
      </w:pPr>
      <w:r>
        <w:t xml:space="preserve">de traumatismes de l’appareil locomoteur, </w:t>
      </w:r>
    </w:p>
    <w:p>
      <w:pPr>
        <w:numPr>
          <w:ilvl w:val="1"/>
          <w:numId w:val="38"/>
        </w:numPr>
        <w:spacing w:after="120"/>
        <w:ind w:left="1418" w:hanging="284"/>
        <w:jc w:val="both"/>
      </w:pPr>
      <w:r>
        <w:t>de malaises (intoxication, crise d’agitation, tétanie, perte de connaissance, hypoglycémies, paralysies, accident vasculaire cérébral (AVC), …).</w:t>
      </w:r>
    </w:p>
    <w:p>
      <w:pPr>
        <w:spacing w:after="120"/>
        <w:ind w:left="426"/>
        <w:jc w:val="both"/>
        <w:rPr>
          <w:b/>
          <w:strike/>
        </w:rPr>
      </w:pPr>
      <w:r>
        <w:rPr>
          <w:b/>
        </w:rPr>
        <w:t>4.3 Contextes spécifiques d’intervention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d’identifier et de caractériser, dans des situations qui nécessitent une attention particulière :</w:t>
      </w:r>
    </w:p>
    <w:p>
      <w:pPr>
        <w:numPr>
          <w:ilvl w:val="1"/>
          <w:numId w:val="38"/>
        </w:numPr>
        <w:spacing w:after="120"/>
        <w:ind w:left="1418" w:hanging="284"/>
        <w:jc w:val="both"/>
      </w:pPr>
      <w:r>
        <w:t>les principales atteintes par des agents physiques ou chimiques et les intoxications,</w:t>
      </w:r>
    </w:p>
    <w:p>
      <w:pPr>
        <w:numPr>
          <w:ilvl w:val="1"/>
          <w:numId w:val="38"/>
        </w:numPr>
        <w:spacing w:after="120"/>
        <w:ind w:left="1418" w:hanging="284"/>
        <w:jc w:val="both"/>
      </w:pPr>
      <w:r>
        <w:t>les principaux troubles pédiatriques,</w:t>
      </w:r>
    </w:p>
    <w:p>
      <w:pPr>
        <w:numPr>
          <w:ilvl w:val="1"/>
          <w:numId w:val="38"/>
        </w:numPr>
        <w:spacing w:after="120"/>
        <w:ind w:left="1418" w:hanging="284"/>
        <w:jc w:val="both"/>
      </w:pPr>
      <w:r>
        <w:t>les principaux troubles spécifiques tels que :</w:t>
      </w:r>
    </w:p>
    <w:p>
      <w:pPr>
        <w:numPr>
          <w:ilvl w:val="1"/>
          <w:numId w:val="40"/>
        </w:numPr>
        <w:spacing w:after="120"/>
        <w:jc w:val="both"/>
      </w:pPr>
      <w:r>
        <w:t>accident vasculaire cérébral (AVC),</w:t>
      </w:r>
    </w:p>
    <w:p>
      <w:pPr>
        <w:numPr>
          <w:ilvl w:val="1"/>
          <w:numId w:val="40"/>
        </w:numPr>
        <w:spacing w:after="120"/>
        <w:jc w:val="both"/>
      </w:pPr>
      <w:r>
        <w:t>malaise cardio-pulmonaire,</w:t>
      </w:r>
    </w:p>
    <w:p>
      <w:pPr>
        <w:numPr>
          <w:ilvl w:val="1"/>
          <w:numId w:val="40"/>
        </w:numPr>
        <w:spacing w:after="120"/>
        <w:jc w:val="both"/>
      </w:pPr>
      <w:r>
        <w:t>perte de connaissance, hypoglycémie, tétanie et épilepsie,</w:t>
      </w:r>
    </w:p>
    <w:p>
      <w:pPr>
        <w:numPr>
          <w:ilvl w:val="1"/>
          <w:numId w:val="40"/>
        </w:numPr>
        <w:spacing w:after="120"/>
        <w:jc w:val="both"/>
      </w:pPr>
      <w:r>
        <w:t>hyperthermie, hypothermie, insolation,</w:t>
      </w:r>
    </w:p>
    <w:p>
      <w:pPr>
        <w:numPr>
          <w:ilvl w:val="1"/>
          <w:numId w:val="40"/>
        </w:numPr>
        <w:spacing w:after="120"/>
        <w:jc w:val="both"/>
      </w:pPr>
      <w:r>
        <w:t>crise d’agitation quelle qu’en soit la cause ;</w:t>
      </w:r>
    </w:p>
    <w:p>
      <w:pPr>
        <w:numPr>
          <w:ilvl w:val="0"/>
          <w:numId w:val="29"/>
        </w:numPr>
        <w:tabs>
          <w:tab w:val="num" w:pos="1134"/>
        </w:tabs>
        <w:spacing w:after="120"/>
        <w:ind w:left="1134" w:hanging="425"/>
        <w:jc w:val="both"/>
      </w:pPr>
      <w:r>
        <w:t>d’identifier et de caractériser son champ d’intervention par rapport à ces différentes atteintes, troubles pédiatriques ou spécifiques.</w:t>
      </w:r>
    </w:p>
    <w:p>
      <w:pPr>
        <w:spacing w:after="120"/>
        <w:ind w:left="426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CONSTITUTION DES GROUPES OU REGROUPEMENT</w:t>
      </w:r>
    </w:p>
    <w:p>
      <w:pPr>
        <w:spacing w:after="120"/>
        <w:ind w:left="426"/>
        <w:jc w:val="both"/>
      </w:pPr>
      <w:r>
        <w:t>Pour l’activité d’enseignement « Premiers</w:t>
      </w:r>
      <w:r>
        <w:rPr>
          <w:color w:val="7030A0"/>
        </w:rPr>
        <w:t xml:space="preserve"> </w:t>
      </w:r>
      <w:r>
        <w:t>secours et réanimation cardio-pulmonaire », il est recommandé de ne pas constituer des groupes de plus de 15 étudiants.</w:t>
      </w:r>
    </w:p>
    <w:p>
      <w:pPr>
        <w:spacing w:after="120"/>
        <w:ind w:left="426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CHARGE(S) DE COURS</w:t>
      </w:r>
    </w:p>
    <w:p>
      <w:pPr>
        <w:spacing w:after="120"/>
        <w:ind w:left="426"/>
        <w:jc w:val="both"/>
      </w:pPr>
      <w:r>
        <w:t>Le chargé de cours sera un enseignant ou un expert.</w:t>
      </w:r>
    </w:p>
    <w:p>
      <w:pPr>
        <w:spacing w:after="120"/>
        <w:ind w:left="426"/>
        <w:jc w:val="both"/>
      </w:pPr>
      <w:r>
        <w:t>L’expert devra justifier de compétences particulières issues d’une expérience professionnelle actualisée en relation avec la charge de cours qui lui est attribuée.</w:t>
      </w:r>
    </w:p>
    <w:p>
      <w:pPr>
        <w:autoSpaceDE/>
        <w:autoSpaceDN/>
      </w:pPr>
      <w:r>
        <w:br w:type="page"/>
      </w:r>
    </w:p>
    <w:p>
      <w:pPr>
        <w:numPr>
          <w:ilvl w:val="0"/>
          <w:numId w:val="1"/>
        </w:numPr>
        <w:tabs>
          <w:tab w:val="num" w:pos="1416"/>
        </w:tabs>
        <w:spacing w:before="120" w:after="120"/>
        <w:ind w:left="357" w:hanging="357"/>
        <w:rPr>
          <w:b/>
        </w:rPr>
      </w:pPr>
      <w:r>
        <w:rPr>
          <w:b/>
        </w:rPr>
        <w:lastRenderedPageBreak/>
        <w:t>HORAIRE MINIMUM DE L’UNITE D’ENSEIGNEMENT</w:t>
      </w:r>
    </w:p>
    <w:p>
      <w:pPr>
        <w:tabs>
          <w:tab w:val="num" w:pos="1416"/>
        </w:tabs>
        <w:spacing w:after="120"/>
        <w:ind w:left="357"/>
        <w:rPr>
          <w:b/>
        </w:rPr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0"/>
        <w:gridCol w:w="1347"/>
        <w:gridCol w:w="1488"/>
        <w:gridCol w:w="1914"/>
      </w:tblGrid>
      <w:tr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</w:rPr>
            </w:pPr>
            <w:r>
              <w:rPr>
                <w:b/>
              </w:rPr>
              <w:t>7.1. Dénomination du cours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Classement du cours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</w:tr>
      <w:tr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</w:tcPr>
          <w:p>
            <w:r>
              <w:t>Contextes généraux d’intervention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ind w:left="-284" w:right="567"/>
              <w:jc w:val="right"/>
            </w:pPr>
            <w:r>
              <w:t>B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</w:tcPr>
          <w:p>
            <w:pPr>
              <w:ind w:right="142"/>
              <w:jc w:val="center"/>
            </w:pPr>
            <w:r>
              <w:t>4</w:t>
            </w:r>
          </w:p>
        </w:tc>
      </w:tr>
      <w:tr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>
            <w:r>
              <w:t>Premiers secours et réanimation cardio-pulmonaire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center"/>
            </w:pPr>
            <w:r>
              <w:t>PP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ind w:left="-284" w:right="567"/>
              <w:jc w:val="right"/>
            </w:pPr>
            <w:r>
              <w:t>T</w:t>
            </w: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>
            <w:pPr>
              <w:ind w:right="142"/>
              <w:jc w:val="center"/>
            </w:pPr>
            <w:r>
              <w:t>22</w:t>
            </w:r>
          </w:p>
        </w:tc>
      </w:tr>
      <w:tr>
        <w:tc>
          <w:tcPr>
            <w:tcW w:w="41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>
            <w:r>
              <w:t xml:space="preserve">Contextes spécifiques d’intervention 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jc w:val="center"/>
            </w:pPr>
            <w:r>
              <w:t>CT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</w:tcPr>
          <w:p>
            <w:pPr>
              <w:ind w:left="-284" w:right="567"/>
              <w:jc w:val="right"/>
            </w:pPr>
            <w:r>
              <w:t>B</w:t>
            </w:r>
          </w:p>
        </w:tc>
        <w:tc>
          <w:tcPr>
            <w:tcW w:w="1914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>
            <w:pPr>
              <w:ind w:right="142"/>
              <w:jc w:val="center"/>
            </w:pPr>
            <w:r>
              <w:t>12</w:t>
            </w:r>
          </w:p>
        </w:tc>
      </w:tr>
      <w:tr>
        <w:tc>
          <w:tcPr>
            <w:tcW w:w="5457" w:type="dxa"/>
            <w:gridSpan w:val="2"/>
            <w:tcBorders>
              <w:left w:val="single" w:sz="18" w:space="0" w:color="auto"/>
              <w:bottom w:val="single" w:sz="8" w:space="0" w:color="auto"/>
            </w:tcBorders>
          </w:tcPr>
          <w:p>
            <w:pPr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>
            <w:pPr>
              <w:ind w:left="-284" w:right="567"/>
              <w:jc w:val="right"/>
            </w:pPr>
            <w:r>
              <w:t>P</w:t>
            </w:r>
          </w:p>
        </w:tc>
        <w:tc>
          <w:tcPr>
            <w:tcW w:w="1914" w:type="dxa"/>
            <w:tcBorders>
              <w:bottom w:val="single" w:sz="8" w:space="0" w:color="auto"/>
              <w:right w:val="single" w:sz="18" w:space="0" w:color="auto"/>
            </w:tcBorders>
          </w:tcPr>
          <w:p>
            <w:pPr>
              <w:ind w:right="142"/>
              <w:jc w:val="center"/>
            </w:pPr>
            <w:r>
              <w:t>10</w:t>
            </w:r>
          </w:p>
        </w:tc>
      </w:tr>
      <w:tr>
        <w:tc>
          <w:tcPr>
            <w:tcW w:w="545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>
            <w:pPr>
              <w:ind w:right="709"/>
              <w:jc w:val="right"/>
            </w:pPr>
          </w:p>
        </w:tc>
        <w:tc>
          <w:tcPr>
            <w:tcW w:w="191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9072"/>
        <w:tab w:val="right" w:pos="9639"/>
      </w:tabs>
      <w:ind w:right="360"/>
      <w:rPr>
        <w:color w:val="0000FF"/>
        <w:sz w:val="18"/>
        <w:szCs w:val="18"/>
      </w:rPr>
    </w:pPr>
    <w:r>
      <w:rPr>
        <w:color w:val="0000FF"/>
        <w:sz w:val="18"/>
        <w:szCs w:val="18"/>
      </w:rPr>
      <w:t>Premiers secours (convention)</w:t>
    </w:r>
    <w:r>
      <w:rPr>
        <w:color w:val="0000FF"/>
        <w:sz w:val="18"/>
        <w:szCs w:val="18"/>
      </w:rPr>
      <w:tab/>
    </w:r>
    <w:r>
      <w:rPr>
        <w:color w:val="0000FF"/>
        <w:sz w:val="18"/>
        <w:szCs w:val="18"/>
      </w:rPr>
      <w:tab/>
      <w:t xml:space="preserve">Page </w:t>
    </w:r>
    <w:r>
      <w:rPr>
        <w:color w:val="0000FF"/>
        <w:sz w:val="18"/>
        <w:szCs w:val="18"/>
      </w:rPr>
      <w:fldChar w:fldCharType="begin"/>
    </w:r>
    <w:r>
      <w:rPr>
        <w:color w:val="0000FF"/>
        <w:sz w:val="18"/>
        <w:szCs w:val="18"/>
      </w:rPr>
      <w:instrText xml:space="preserve"> PAGE </w:instrText>
    </w:r>
    <w:r>
      <w:rPr>
        <w:color w:val="0000FF"/>
        <w:sz w:val="18"/>
        <w:szCs w:val="18"/>
      </w:rPr>
      <w:fldChar w:fldCharType="separate"/>
    </w:r>
    <w:r>
      <w:rPr>
        <w:noProof/>
        <w:color w:val="0000FF"/>
        <w:sz w:val="18"/>
        <w:szCs w:val="18"/>
      </w:rPr>
      <w:t>5</w:t>
    </w:r>
    <w:r>
      <w:rPr>
        <w:color w:val="0000FF"/>
        <w:sz w:val="18"/>
        <w:szCs w:val="18"/>
      </w:rPr>
      <w:fldChar w:fldCharType="end"/>
    </w:r>
    <w:r>
      <w:rPr>
        <w:color w:val="0000FF"/>
        <w:sz w:val="18"/>
        <w:szCs w:val="18"/>
      </w:rPr>
      <w:t xml:space="preserve"> sur </w:t>
    </w:r>
    <w:r>
      <w:rPr>
        <w:color w:val="0000FF"/>
        <w:sz w:val="18"/>
        <w:szCs w:val="18"/>
      </w:rPr>
      <w:fldChar w:fldCharType="begin"/>
    </w:r>
    <w:r>
      <w:rPr>
        <w:color w:val="0000FF"/>
        <w:sz w:val="18"/>
        <w:szCs w:val="18"/>
      </w:rPr>
      <w:instrText xml:space="preserve"> NUMPAGES </w:instrText>
    </w:r>
    <w:r>
      <w:rPr>
        <w:color w:val="0000FF"/>
        <w:sz w:val="18"/>
        <w:szCs w:val="18"/>
      </w:rPr>
      <w:fldChar w:fldCharType="separate"/>
    </w:r>
    <w:r>
      <w:rPr>
        <w:noProof/>
        <w:color w:val="0000FF"/>
        <w:sz w:val="18"/>
        <w:szCs w:val="18"/>
      </w:rPr>
      <w:t>5</w:t>
    </w:r>
    <w:r>
      <w:rPr>
        <w:color w:val="0000F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0C1"/>
    <w:multiLevelType w:val="hybridMultilevel"/>
    <w:tmpl w:val="7E90D37A"/>
    <w:lvl w:ilvl="0" w:tplc="00367712">
      <w:start w:val="1"/>
      <w:numFmt w:val="lowerLetter"/>
      <w:lvlText w:val="%1."/>
      <w:lvlJc w:val="left"/>
      <w:pPr>
        <w:ind w:left="1427" w:hanging="8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E7040C"/>
    <w:multiLevelType w:val="multilevel"/>
    <w:tmpl w:val="2AB0238C"/>
    <w:lvl w:ilvl="0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423"/>
    <w:multiLevelType w:val="hybridMultilevel"/>
    <w:tmpl w:val="6C2AFCE2"/>
    <w:lvl w:ilvl="0" w:tplc="84E236B6">
      <w:start w:val="1"/>
      <w:numFmt w:val="lowerLetter"/>
      <w:lvlText w:val="%1."/>
      <w:lvlJc w:val="left"/>
      <w:pPr>
        <w:ind w:left="1427" w:hanging="860"/>
      </w:pPr>
      <w:rPr>
        <w:rFonts w:hint="default"/>
      </w:rPr>
    </w:lvl>
    <w:lvl w:ilvl="1" w:tplc="F2CC03AE">
      <w:start w:val="1"/>
      <w:numFmt w:val="decimal"/>
      <w:lvlText w:val="%2."/>
      <w:lvlJc w:val="left"/>
      <w:pPr>
        <w:ind w:left="2147" w:hanging="8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450A98"/>
    <w:multiLevelType w:val="hybridMultilevel"/>
    <w:tmpl w:val="3A68FF9E"/>
    <w:lvl w:ilvl="0" w:tplc="83AE0DAC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0251"/>
    <w:multiLevelType w:val="hybridMultilevel"/>
    <w:tmpl w:val="22B03E3A"/>
    <w:lvl w:ilvl="0" w:tplc="FFFFFFFF">
      <w:numFmt w:val="bullet"/>
      <w:lvlText w:val=""/>
      <w:lvlJc w:val="left"/>
      <w:pPr>
        <w:ind w:left="128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E43E4E"/>
    <w:multiLevelType w:val="hybridMultilevel"/>
    <w:tmpl w:val="09541CFE"/>
    <w:lvl w:ilvl="0" w:tplc="08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06B126C"/>
    <w:multiLevelType w:val="hybridMultilevel"/>
    <w:tmpl w:val="FA1A7084"/>
    <w:lvl w:ilvl="0" w:tplc="83AE0DAC">
      <w:numFmt w:val="bullet"/>
      <w:lvlText w:val=""/>
      <w:lvlJc w:val="left"/>
      <w:pPr>
        <w:ind w:left="21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A8A666C"/>
    <w:multiLevelType w:val="multilevel"/>
    <w:tmpl w:val="0D9455AA"/>
    <w:lvl w:ilvl="0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77D3C"/>
    <w:multiLevelType w:val="hybridMultilevel"/>
    <w:tmpl w:val="5DD2C976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547E1"/>
    <w:multiLevelType w:val="hybridMultilevel"/>
    <w:tmpl w:val="84FAF18A"/>
    <w:lvl w:ilvl="0" w:tplc="83AE0DAC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0F15"/>
    <w:multiLevelType w:val="hybridMultilevel"/>
    <w:tmpl w:val="8CE0FE98"/>
    <w:lvl w:ilvl="0" w:tplc="83AE0DAC">
      <w:numFmt w:val="bullet"/>
      <w:lvlText w:val=""/>
      <w:lvlJc w:val="left"/>
      <w:pPr>
        <w:ind w:left="248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19A4127"/>
    <w:multiLevelType w:val="multilevel"/>
    <w:tmpl w:val="2E98C1DC"/>
    <w:lvl w:ilvl="0">
      <w:numFmt w:val="bullet"/>
      <w:lvlText w:val=""/>
      <w:lvlJc w:val="left"/>
      <w:pPr>
        <w:ind w:left="164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96D01BB"/>
    <w:multiLevelType w:val="multilevel"/>
    <w:tmpl w:val="83688E1C"/>
    <w:lvl w:ilvl="0">
      <w:numFmt w:val="bullet"/>
      <w:lvlText w:val=""/>
      <w:lvlJc w:val="left"/>
      <w:pPr>
        <w:ind w:left="21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B370828"/>
    <w:multiLevelType w:val="multilevel"/>
    <w:tmpl w:val="0D9455AA"/>
    <w:lvl w:ilvl="0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85310"/>
    <w:multiLevelType w:val="hybridMultilevel"/>
    <w:tmpl w:val="9500C5E8"/>
    <w:lvl w:ilvl="0" w:tplc="08A8802A">
      <w:numFmt w:val="bullet"/>
      <w:lvlText w:val="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F452E"/>
    <w:multiLevelType w:val="multilevel"/>
    <w:tmpl w:val="22B03E3A"/>
    <w:lvl w:ilvl="0">
      <w:numFmt w:val="bullet"/>
      <w:lvlText w:val=""/>
      <w:lvlJc w:val="left"/>
      <w:pPr>
        <w:ind w:left="128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663784"/>
    <w:multiLevelType w:val="hybridMultilevel"/>
    <w:tmpl w:val="02BAD9D2"/>
    <w:lvl w:ilvl="0" w:tplc="361E8774">
      <w:start w:val="1"/>
      <w:numFmt w:val="lowerLetter"/>
      <w:lvlText w:val="%1."/>
      <w:lvlJc w:val="left"/>
      <w:pPr>
        <w:ind w:left="1427" w:hanging="8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75542B5"/>
    <w:multiLevelType w:val="hybridMultilevel"/>
    <w:tmpl w:val="D42E6172"/>
    <w:lvl w:ilvl="0" w:tplc="6AD8639C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4E4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307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88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01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887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E80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46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94C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E3587"/>
    <w:multiLevelType w:val="multilevel"/>
    <w:tmpl w:val="0D9455AA"/>
    <w:lvl w:ilvl="0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05B62"/>
    <w:multiLevelType w:val="hybridMultilevel"/>
    <w:tmpl w:val="FBFEF6C8"/>
    <w:lvl w:ilvl="0" w:tplc="83AE0DAC">
      <w:numFmt w:val="bullet"/>
      <w:lvlText w:val=""/>
      <w:lvlJc w:val="left"/>
      <w:pPr>
        <w:ind w:left="177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BB0742C"/>
    <w:multiLevelType w:val="hybridMultilevel"/>
    <w:tmpl w:val="EF9A8922"/>
    <w:lvl w:ilvl="0" w:tplc="FFFFFFFF">
      <w:numFmt w:val="bullet"/>
      <w:lvlText w:val=""/>
      <w:lvlJc w:val="left"/>
      <w:pPr>
        <w:ind w:left="106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bullet"/>
      <w:lvlText w:val=""/>
      <w:lvlJc w:val="left"/>
      <w:pPr>
        <w:ind w:left="178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146752"/>
    <w:multiLevelType w:val="hybridMultilevel"/>
    <w:tmpl w:val="E362CE20"/>
    <w:lvl w:ilvl="0" w:tplc="83AE0DAC">
      <w:numFmt w:val="bullet"/>
      <w:lvlText w:val=""/>
      <w:lvlJc w:val="left"/>
      <w:pPr>
        <w:ind w:left="177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D5D3AF4"/>
    <w:multiLevelType w:val="hybridMultilevel"/>
    <w:tmpl w:val="267261C0"/>
    <w:lvl w:ilvl="0" w:tplc="1D54895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8ECE015C">
      <w:start w:val="1"/>
      <w:numFmt w:val="decimal"/>
      <w:lvlText w:val="%2."/>
      <w:lvlJc w:val="left"/>
      <w:pPr>
        <w:ind w:left="2147" w:hanging="8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C2367D"/>
    <w:multiLevelType w:val="hybridMultilevel"/>
    <w:tmpl w:val="2EF868D4"/>
    <w:lvl w:ilvl="0" w:tplc="FFFFFFFF">
      <w:numFmt w:val="bullet"/>
      <w:lvlText w:val=""/>
      <w:lvlJc w:val="left"/>
      <w:pPr>
        <w:ind w:left="106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2054036"/>
    <w:multiLevelType w:val="hybridMultilevel"/>
    <w:tmpl w:val="0D9455AA"/>
    <w:lvl w:ilvl="0" w:tplc="83AE0DAC"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B31CB"/>
    <w:multiLevelType w:val="multilevel"/>
    <w:tmpl w:val="22B03E3A"/>
    <w:lvl w:ilvl="0">
      <w:numFmt w:val="bullet"/>
      <w:lvlText w:val=""/>
      <w:lvlJc w:val="left"/>
      <w:pPr>
        <w:ind w:left="128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953585"/>
    <w:multiLevelType w:val="hybridMultilevel"/>
    <w:tmpl w:val="E4EAA20E"/>
    <w:lvl w:ilvl="0" w:tplc="2D5C9496">
      <w:start w:val="1"/>
      <w:numFmt w:val="lowerLetter"/>
      <w:lvlText w:val="%1."/>
      <w:lvlJc w:val="left"/>
      <w:pPr>
        <w:ind w:left="1427" w:hanging="8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8A01BD"/>
    <w:multiLevelType w:val="hybridMultilevel"/>
    <w:tmpl w:val="AF8C4298"/>
    <w:lvl w:ilvl="0" w:tplc="E0883E8E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1652AE66">
      <w:start w:val="1"/>
      <w:numFmt w:val="lowerLetter"/>
      <w:lvlText w:val="%2."/>
      <w:lvlJc w:val="left"/>
      <w:pPr>
        <w:ind w:left="2147" w:hanging="8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7D411A"/>
    <w:multiLevelType w:val="multilevel"/>
    <w:tmpl w:val="22B03E3A"/>
    <w:lvl w:ilvl="0">
      <w:numFmt w:val="bullet"/>
      <w:lvlText w:val=""/>
      <w:lvlJc w:val="left"/>
      <w:pPr>
        <w:ind w:left="128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A94445"/>
    <w:multiLevelType w:val="hybridMultilevel"/>
    <w:tmpl w:val="5AAE38D4"/>
    <w:lvl w:ilvl="0" w:tplc="17FC8BA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1E4857"/>
    <w:multiLevelType w:val="multilevel"/>
    <w:tmpl w:val="364C9346"/>
    <w:lvl w:ilvl="0">
      <w:numFmt w:val="bullet"/>
      <w:lvlText w:val=""/>
      <w:lvlJc w:val="left"/>
      <w:pPr>
        <w:ind w:left="21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"/>
      <w:lvlJc w:val="left"/>
      <w:pPr>
        <w:ind w:left="285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9BB0260"/>
    <w:multiLevelType w:val="hybridMultilevel"/>
    <w:tmpl w:val="BF4AE99A"/>
    <w:lvl w:ilvl="0" w:tplc="CF8A61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F1E3E"/>
    <w:multiLevelType w:val="hybridMultilevel"/>
    <w:tmpl w:val="DA4AF89C"/>
    <w:lvl w:ilvl="0" w:tplc="199607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837E4"/>
    <w:multiLevelType w:val="hybridMultilevel"/>
    <w:tmpl w:val="E8163A6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FC23AD8"/>
    <w:multiLevelType w:val="hybridMultilevel"/>
    <w:tmpl w:val="E98A18EE"/>
    <w:lvl w:ilvl="0" w:tplc="BC5EE2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71A1886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615AC"/>
    <w:multiLevelType w:val="hybridMultilevel"/>
    <w:tmpl w:val="88522DBA"/>
    <w:lvl w:ilvl="0" w:tplc="FFFFFFFF">
      <w:numFmt w:val="bullet"/>
      <w:lvlText w:val=""/>
      <w:lvlJc w:val="left"/>
      <w:pPr>
        <w:ind w:left="164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numFmt w:val="bullet"/>
      <w:lvlText w:val=""/>
      <w:lvlJc w:val="left"/>
      <w:pPr>
        <w:ind w:left="236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7B65C17"/>
    <w:multiLevelType w:val="hybridMultilevel"/>
    <w:tmpl w:val="5BAC40B0"/>
    <w:lvl w:ilvl="0" w:tplc="040C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A3F0D33"/>
    <w:multiLevelType w:val="hybridMultilevel"/>
    <w:tmpl w:val="78C47BE8"/>
    <w:lvl w:ilvl="0" w:tplc="F52E6BE4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B222BDC"/>
    <w:multiLevelType w:val="hybridMultilevel"/>
    <w:tmpl w:val="F4109BFA"/>
    <w:lvl w:ilvl="0" w:tplc="83AE0DAC">
      <w:numFmt w:val="bullet"/>
      <w:lvlText w:val=""/>
      <w:lvlJc w:val="left"/>
      <w:pPr>
        <w:ind w:left="21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AE0DAC">
      <w:numFmt w:val="bullet"/>
      <w:lvlText w:val=""/>
      <w:lvlJc w:val="left"/>
      <w:pPr>
        <w:ind w:left="285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AE0DAC">
      <w:numFmt w:val="bullet"/>
      <w:lvlText w:val=""/>
      <w:lvlJc w:val="left"/>
      <w:pPr>
        <w:ind w:left="357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7EE72CB6"/>
    <w:multiLevelType w:val="multilevel"/>
    <w:tmpl w:val="C188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18"/>
  </w:num>
  <w:num w:numId="3">
    <w:abstractNumId w:val="4"/>
  </w:num>
  <w:num w:numId="4">
    <w:abstractNumId w:val="2"/>
  </w:num>
  <w:num w:numId="5">
    <w:abstractNumId w:val="27"/>
  </w:num>
  <w:num w:numId="6">
    <w:abstractNumId w:val="0"/>
  </w:num>
  <w:num w:numId="7">
    <w:abstractNumId w:val="28"/>
  </w:num>
  <w:num w:numId="8">
    <w:abstractNumId w:val="16"/>
  </w:num>
  <w:num w:numId="9">
    <w:abstractNumId w:val="30"/>
  </w:num>
  <w:num w:numId="10">
    <w:abstractNumId w:val="23"/>
  </w:num>
  <w:num w:numId="11">
    <w:abstractNumId w:val="29"/>
  </w:num>
  <w:num w:numId="12">
    <w:abstractNumId w:val="25"/>
  </w:num>
  <w:num w:numId="13">
    <w:abstractNumId w:val="19"/>
  </w:num>
  <w:num w:numId="14">
    <w:abstractNumId w:val="22"/>
  </w:num>
  <w:num w:numId="15">
    <w:abstractNumId w:val="7"/>
  </w:num>
  <w:num w:numId="16">
    <w:abstractNumId w:val="6"/>
  </w:num>
  <w:num w:numId="17">
    <w:abstractNumId w:val="13"/>
  </w:num>
  <w:num w:numId="18">
    <w:abstractNumId w:val="10"/>
  </w:num>
  <w:num w:numId="19">
    <w:abstractNumId w:val="15"/>
  </w:num>
  <w:num w:numId="20">
    <w:abstractNumId w:val="20"/>
  </w:num>
  <w:num w:numId="21">
    <w:abstractNumId w:val="26"/>
  </w:num>
  <w:num w:numId="22">
    <w:abstractNumId w:val="39"/>
  </w:num>
  <w:num w:numId="23">
    <w:abstractNumId w:val="12"/>
  </w:num>
  <w:num w:numId="24">
    <w:abstractNumId w:val="31"/>
  </w:num>
  <w:num w:numId="25">
    <w:abstractNumId w:val="9"/>
  </w:num>
  <w:num w:numId="26">
    <w:abstractNumId w:val="3"/>
  </w:num>
  <w:num w:numId="27">
    <w:abstractNumId w:val="36"/>
  </w:num>
  <w:num w:numId="28">
    <w:abstractNumId w:val="11"/>
  </w:num>
  <w:num w:numId="29">
    <w:abstractNumId w:val="21"/>
  </w:num>
  <w:num w:numId="30">
    <w:abstractNumId w:val="32"/>
  </w:num>
  <w:num w:numId="31">
    <w:abstractNumId w:val="35"/>
  </w:num>
  <w:num w:numId="32">
    <w:abstractNumId w:val="33"/>
  </w:num>
  <w:num w:numId="33">
    <w:abstractNumId w:val="1"/>
  </w:num>
  <w:num w:numId="34">
    <w:abstractNumId w:val="14"/>
  </w:num>
  <w:num w:numId="35">
    <w:abstractNumId w:val="17"/>
  </w:num>
  <w:num w:numId="36">
    <w:abstractNumId w:val="37"/>
  </w:num>
  <w:num w:numId="37">
    <w:abstractNumId w:val="8"/>
  </w:num>
  <w:num w:numId="38">
    <w:abstractNumId w:val="5"/>
  </w:num>
  <w:num w:numId="39">
    <w:abstractNumId w:val="38"/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E6F44B-D488-4C1C-B67E-9D88804C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426"/>
    </w:pPr>
    <w:rPr>
      <w:i/>
      <w:iCs/>
    </w:rPr>
  </w:style>
  <w:style w:type="paragraph" w:styleId="Notedebasdepage">
    <w:name w:val="footnote text"/>
    <w:basedOn w:val="Normal"/>
    <w:semiHidden/>
    <w:pPr>
      <w:autoSpaceDE/>
      <w:autoSpaceDN/>
    </w:pPr>
    <w:rPr>
      <w:szCs w:val="20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autoSpaceDE/>
      <w:autoSpaceDN/>
    </w:pPr>
    <w:rPr>
      <w:szCs w:val="20"/>
    </w:rPr>
  </w:style>
  <w:style w:type="paragraph" w:styleId="Retraitcorpsdetexte2">
    <w:name w:val="Body Text Indent 2"/>
    <w:basedOn w:val="Normal"/>
    <w:semiHidden/>
    <w:pPr>
      <w:ind w:left="426"/>
      <w:jc w:val="both"/>
    </w:pPr>
  </w:style>
  <w:style w:type="paragraph" w:styleId="Retraitcorpsdetexte3">
    <w:name w:val="Body Text Indent 3"/>
    <w:basedOn w:val="Normal"/>
    <w:semiHidden/>
    <w:pPr>
      <w:spacing w:before="120" w:after="120"/>
      <w:ind w:left="425"/>
    </w:pPr>
    <w:rPr>
      <w:i/>
      <w:iCs/>
    </w:r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aragraphedeliste">
    <w:name w:val="List Paragraph"/>
    <w:basedOn w:val="Normal"/>
    <w:uiPriority w:val="72"/>
    <w:qFormat/>
    <w:pPr>
      <w:ind w:left="708"/>
    </w:pPr>
  </w:style>
  <w:style w:type="character" w:customStyle="1" w:styleId="PieddepageCar">
    <w:name w:val="Pied de page Car"/>
    <w:link w:val="Pieddepage"/>
    <w:rPr>
      <w:sz w:val="22"/>
      <w:lang w:val="fr-FR" w:eastAsia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50E92-A18B-43D8-806A-66E2CD07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Sp-eps-cpeons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LOGNARD</dc:creator>
  <cp:keywords/>
  <cp:lastModifiedBy>goulet02</cp:lastModifiedBy>
  <cp:revision>3</cp:revision>
  <cp:lastPrinted>2002-09-10T06:42:00Z</cp:lastPrinted>
  <dcterms:created xsi:type="dcterms:W3CDTF">2020-03-30T12:52:00Z</dcterms:created>
  <dcterms:modified xsi:type="dcterms:W3CDTF">2020-08-20T14:29:00Z</dcterms:modified>
</cp:coreProperties>
</file>