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noProof w:val="0"/>
        </w:rPr>
      </w:pPr>
      <w:r>
        <w:rPr>
          <w:rFonts w:ascii="Times New Roman" w:hAnsi="Times New Roman"/>
          <w:b/>
          <w:noProof w:val="0"/>
        </w:rPr>
        <w:t>MINISTERE DE LA COMMUNAUTE FRANCAISE</w:t>
      </w:r>
    </w:p>
    <w:p>
      <w:pPr>
        <w:pStyle w:val="Texte"/>
        <w:jc w:val="center"/>
        <w:rPr>
          <w:rFonts w:ascii="Times New Roman" w:hAnsi="Times New Roman"/>
          <w:b/>
          <w:noProof w:val="0"/>
        </w:rPr>
      </w:pPr>
    </w:p>
    <w:p>
      <w:pPr>
        <w:pStyle w:val="Texte"/>
        <w:jc w:val="center"/>
        <w:rPr>
          <w:rFonts w:ascii="Times New Roman" w:hAnsi="Times New Roman"/>
          <w:b/>
          <w:noProof w:val="0"/>
          <w:sz w:val="20"/>
        </w:rPr>
      </w:pPr>
      <w:r>
        <w:rPr>
          <w:rFonts w:ascii="Times New Roman" w:hAnsi="Times New Roman"/>
          <w:b/>
          <w:noProof w:val="0"/>
          <w:sz w:val="20"/>
        </w:rPr>
        <w:t>ADMINISTRATION GENERALE DE L’ENSEIGNEMENT</w:t>
      </w:r>
    </w:p>
    <w:p>
      <w:pPr>
        <w:pStyle w:val="Texte"/>
        <w:jc w:val="center"/>
        <w:rPr>
          <w:rFonts w:ascii="Times New Roman" w:hAnsi="Times New Roman"/>
          <w:noProof w:val="0"/>
        </w:rPr>
      </w:pPr>
    </w:p>
    <w:p>
      <w:pPr>
        <w:pStyle w:val="Texte"/>
        <w:jc w:val="center"/>
        <w:rPr>
          <w:rFonts w:ascii="Times New Roman" w:hAnsi="Times New Roman"/>
          <w:b/>
          <w:noProof w:val="0"/>
        </w:rPr>
      </w:pPr>
      <w:r>
        <w:rPr>
          <w:rFonts w:ascii="Times New Roman" w:hAnsi="Times New Roman"/>
          <w:b/>
          <w:noProof w:val="0"/>
        </w:rPr>
        <w:t>ENSEIGNEMENT DE PROMOTION SOCIALE</w:t>
      </w:r>
    </w:p>
    <w:p/>
    <w:p/>
    <w:p/>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Pr>
        <w:spacing w:before="120"/>
        <w:jc w:val="center"/>
        <w:rPr>
          <w:b/>
        </w:rPr>
      </w:pPr>
      <w:bookmarkStart w:id="0" w:name="_Hlk529793239"/>
      <w:r>
        <w:rPr>
          <w:b/>
        </w:rPr>
        <w:t>UNITE D’ENSEIGNEMENT</w:t>
      </w:r>
    </w:p>
    <w:p>
      <w:pPr>
        <w:spacing w:before="120"/>
        <w:jc w:val="center"/>
        <w:rPr>
          <w:b/>
        </w:rPr>
      </w:pPr>
    </w:p>
    <w:bookmarkEnd w:id="0"/>
    <w:p>
      <w:pPr>
        <w:jc w:val="center"/>
        <w:rPr>
          <w:sz w:val="32"/>
        </w:rPr>
      </w:pPr>
    </w:p>
    <w:p>
      <w:pPr>
        <w:jc w:val="center"/>
        <w:rPr>
          <w:b/>
          <w:caps/>
          <w:sz w:val="32"/>
        </w:rPr>
      </w:pPr>
      <w:r>
        <w:rPr>
          <w:b/>
          <w:caps/>
          <w:sz w:val="32"/>
        </w:rPr>
        <w:t>système VISUEL SENSORI-MOTEUR</w:t>
      </w:r>
    </w:p>
    <w:p>
      <w:pPr>
        <w:jc w:val="center"/>
        <w:rPr>
          <w:sz w:val="32"/>
        </w:rPr>
      </w:pPr>
    </w:p>
    <w:p>
      <w:pPr>
        <w:pStyle w:val="Texte"/>
        <w:spacing w:before="120"/>
        <w:jc w:val="center"/>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SUPERIEUR DE TYPE COURT</w:t>
      </w:r>
    </w:p>
    <w:p>
      <w:pPr>
        <w:jc w:val="center"/>
      </w:pPr>
    </w:p>
    <w:p>
      <w:pPr>
        <w:pStyle w:val="Texte"/>
        <w:spacing w:before="120"/>
        <w:jc w:val="center"/>
        <w:rPr>
          <w:rFonts w:ascii="Times New Roman" w:hAnsi="Times New Roman"/>
          <w:b/>
          <w:noProof w:val="0"/>
        </w:rPr>
      </w:pPr>
      <w:bookmarkStart w:id="1" w:name="_Hlk529792902"/>
      <w:r>
        <w:rPr>
          <w:rFonts w:ascii="Times New Roman" w:hAnsi="Times New Roman"/>
          <w:b/>
          <w:noProof w:val="0"/>
        </w:rPr>
        <w:t>DOMAINE : SCIENCES DE LA SANTE PUBLIQUE</w:t>
      </w:r>
    </w:p>
    <w:bookmarkEnd w:id="1"/>
    <w:p>
      <w:pPr>
        <w:jc w:val="center"/>
      </w:pP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lang w:val="nl-NL"/>
              </w:rPr>
            </w:pPr>
            <w:proofErr w:type="gramStart"/>
            <w:r>
              <w:rPr>
                <w:rFonts w:ascii="Times New Roman" w:hAnsi="Times New Roman"/>
                <w:b/>
                <w:noProof w:val="0"/>
                <w:lang w:val="nl-NL"/>
              </w:rPr>
              <w:t>CODE :</w:t>
            </w:r>
            <w:proofErr w:type="gramEnd"/>
            <w:r>
              <w:rPr>
                <w:rFonts w:ascii="Times New Roman" w:hAnsi="Times New Roman"/>
                <w:b/>
                <w:noProof w:val="0"/>
                <w:lang w:val="nl-NL"/>
              </w:rPr>
              <w:t xml:space="preserve"> </w:t>
            </w:r>
            <w:r>
              <w:rPr>
                <w:rFonts w:ascii="Times New Roman" w:hAnsi="Times New Roman"/>
                <w:b/>
                <w:lang w:val="nl-NL"/>
              </w:rPr>
              <w:t>82 46 15 U34 D1</w:t>
            </w:r>
          </w:p>
        </w:tc>
      </w:tr>
      <w:tr>
        <w:tc>
          <w:tcPr>
            <w:tcW w:w="5529" w:type="dxa"/>
          </w:tcPr>
          <w:p>
            <w:pPr>
              <w:pStyle w:val="Texte"/>
              <w:jc w:val="center"/>
              <w:rPr>
                <w:rFonts w:ascii="Times New Roman" w:hAnsi="Times New Roman"/>
                <w:b/>
                <w:noProof w:val="0"/>
              </w:rPr>
            </w:pPr>
            <w:r>
              <w:rPr>
                <w:rFonts w:ascii="Times New Roman" w:hAnsi="Times New Roman"/>
                <w:b/>
                <w:noProof w:val="0"/>
              </w:rPr>
              <w:t xml:space="preserve">CODE DU DOMAINE DE FORMATION : 804 </w:t>
            </w:r>
          </w:p>
        </w:tc>
      </w:tr>
      <w:tr>
        <w:tc>
          <w:tcPr>
            <w:tcW w:w="5529" w:type="dxa"/>
          </w:tcPr>
          <w:p>
            <w:pPr>
              <w:pStyle w:val="Texte"/>
              <w:jc w:val="center"/>
              <w:rPr>
                <w:rFonts w:ascii="Times New Roman" w:hAnsi="Times New Roman"/>
                <w:noProof w:val="0"/>
              </w:rPr>
            </w:pPr>
            <w:r>
              <w:rPr>
                <w:rFonts w:ascii="Times New Roman" w:hAnsi="Times New Roman"/>
                <w:b/>
                <w:noProof w:val="0"/>
              </w:rPr>
              <w:t>DOCUMENT DE REFERENCE INTER-RESEAUX</w:t>
            </w:r>
          </w:p>
        </w:tc>
      </w:tr>
    </w:tbl>
    <w:p>
      <w:pPr>
        <w:jc w:val="center"/>
      </w:pPr>
    </w:p>
    <w:p>
      <w:pPr>
        <w:jc w:val="center"/>
      </w:pPr>
    </w:p>
    <w:p>
      <w:pPr>
        <w:jc w:val="center"/>
      </w:pPr>
    </w:p>
    <w:p>
      <w:pPr>
        <w:jc w:val="center"/>
        <w:rPr>
          <w:b/>
        </w:rPr>
      </w:pPr>
    </w:p>
    <w:p>
      <w:pPr>
        <w:jc w:val="center"/>
        <w:rPr>
          <w:b/>
        </w:rPr>
      </w:pPr>
      <w:bookmarkStart w:id="2" w:name="_Hlk529793796"/>
      <w:r>
        <w:rPr>
          <w:b/>
        </w:rPr>
        <w:t>Approbation du Gouvernement de la Communauté française du 19 juillet 2019,</w:t>
      </w:r>
      <w:bookmarkStart w:id="3" w:name="_GoBack"/>
      <w:bookmarkEnd w:id="3"/>
    </w:p>
    <w:p>
      <w:pPr>
        <w:jc w:val="center"/>
        <w:rPr>
          <w:b/>
        </w:rPr>
      </w:pPr>
      <w:proofErr w:type="gramStart"/>
      <w:r>
        <w:rPr>
          <w:b/>
        </w:rPr>
        <w:t>sur</w:t>
      </w:r>
      <w:proofErr w:type="gramEnd"/>
      <w:r>
        <w:rPr>
          <w:b/>
        </w:rPr>
        <w:t xml:space="preserve"> avis conforme de Conseil général</w:t>
      </w:r>
    </w:p>
    <w:p>
      <w:pPr>
        <w:pStyle w:val="tableauc"/>
      </w:pPr>
      <w:r>
        <w:br w:type="page"/>
      </w:r>
      <w:bookmarkEnd w:id="2"/>
    </w:p>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142"/>
      </w:tblGrid>
      <w:tr>
        <w:tc>
          <w:tcPr>
            <w:tcW w:w="9142" w:type="dxa"/>
          </w:tcPr>
          <w:p>
            <w:pPr>
              <w:jc w:val="center"/>
              <w:rPr>
                <w:b/>
              </w:rPr>
            </w:pPr>
            <w:r>
              <w:rPr>
                <w:b/>
              </w:rPr>
              <w:lastRenderedPageBreak/>
              <w:br w:type="page"/>
            </w:r>
          </w:p>
          <w:p>
            <w:pPr>
              <w:jc w:val="center"/>
              <w:rPr>
                <w:b/>
                <w:caps/>
                <w:sz w:val="28"/>
                <w:szCs w:val="28"/>
              </w:rPr>
            </w:pPr>
            <w:r>
              <w:rPr>
                <w:b/>
                <w:caps/>
                <w:sz w:val="28"/>
                <w:szCs w:val="28"/>
              </w:rPr>
              <w:t>système visuel sensori-MOTEUR</w:t>
            </w:r>
          </w:p>
          <w:p/>
          <w:p>
            <w:pPr>
              <w:pStyle w:val="Texte"/>
              <w:spacing w:before="120"/>
              <w:jc w:val="center"/>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SUPERIEUR DE TYPE COURT</w:t>
            </w:r>
          </w:p>
          <w:p>
            <w:pPr>
              <w:jc w:val="center"/>
              <w:rPr>
                <w:b/>
              </w:rPr>
            </w:pPr>
          </w:p>
        </w:tc>
      </w:tr>
    </w:tbl>
    <w:p>
      <w:pPr>
        <w:spacing w:after="120"/>
        <w:jc w:val="both"/>
        <w:rPr>
          <w:szCs w:val="22"/>
        </w:rPr>
      </w:pPr>
    </w:p>
    <w:p>
      <w:pPr>
        <w:spacing w:after="120"/>
        <w:ind w:left="426" w:hanging="284"/>
        <w:jc w:val="both"/>
        <w:rPr>
          <w:b/>
          <w:szCs w:val="22"/>
        </w:rPr>
      </w:pPr>
      <w:bookmarkStart w:id="4" w:name="_Hlk529792943"/>
      <w:r>
        <w:rPr>
          <w:b/>
          <w:szCs w:val="22"/>
        </w:rPr>
        <w:t>1.</w:t>
      </w:r>
      <w:r>
        <w:rPr>
          <w:b/>
          <w:szCs w:val="22"/>
        </w:rPr>
        <w:tab/>
        <w:t>FINALITES DE L’UNITE D’ENSEIGNEMENT</w:t>
      </w:r>
    </w:p>
    <w:bookmarkEnd w:id="4"/>
    <w:p>
      <w:pPr>
        <w:spacing w:after="120"/>
        <w:ind w:left="860" w:hanging="434"/>
        <w:jc w:val="both"/>
        <w:rPr>
          <w:b/>
          <w:szCs w:val="22"/>
        </w:rPr>
      </w:pPr>
      <w:r>
        <w:rPr>
          <w:b/>
          <w:szCs w:val="22"/>
        </w:rPr>
        <w:t>1.1.</w:t>
      </w:r>
      <w:r>
        <w:rPr>
          <w:b/>
          <w:szCs w:val="22"/>
        </w:rPr>
        <w:tab/>
        <w:t>Finalités générales</w:t>
      </w:r>
    </w:p>
    <w:p>
      <w:pPr>
        <w:spacing w:after="120"/>
        <w:ind w:left="851"/>
        <w:jc w:val="both"/>
        <w:rPr>
          <w:szCs w:val="22"/>
        </w:rPr>
      </w:pPr>
      <w:r>
        <w:rPr>
          <w:szCs w:val="22"/>
        </w:rPr>
        <w:t>Conformément à l’article 7 du décret de la Communauté française du 16 avril 1991 organisant l'Enseignement de promotion sociale, cette unité d’enseignement doit :</w:t>
      </w:r>
    </w:p>
    <w:p>
      <w:pPr>
        <w:numPr>
          <w:ilvl w:val="0"/>
          <w:numId w:val="2"/>
        </w:numPr>
        <w:tabs>
          <w:tab w:val="clear" w:pos="360"/>
          <w:tab w:val="num" w:pos="1134"/>
          <w:tab w:val="num" w:pos="1494"/>
        </w:tabs>
        <w:spacing w:after="120"/>
        <w:ind w:left="1134" w:hanging="283"/>
        <w:jc w:val="both"/>
        <w:rPr>
          <w:szCs w:val="22"/>
        </w:rPr>
      </w:pPr>
      <w:r>
        <w:rPr>
          <w:szCs w:val="22"/>
        </w:rPr>
        <w:t>concourir à l’épanouissement individuel en promouvant une meilleure insertion professionnelle, sociale, culturelle et scolaire ;</w:t>
      </w:r>
    </w:p>
    <w:p>
      <w:pPr>
        <w:numPr>
          <w:ilvl w:val="0"/>
          <w:numId w:val="2"/>
        </w:numPr>
        <w:tabs>
          <w:tab w:val="clear" w:pos="360"/>
          <w:tab w:val="num" w:pos="1134"/>
          <w:tab w:val="num" w:pos="1494"/>
        </w:tabs>
        <w:spacing w:after="120"/>
        <w:ind w:left="1134" w:hanging="283"/>
        <w:jc w:val="both"/>
        <w:rPr>
          <w:szCs w:val="22"/>
        </w:rPr>
      </w:pPr>
      <w:r>
        <w:rPr>
          <w:szCs w:val="22"/>
        </w:rPr>
        <w:t>répondre aux besoins et demandes en formation émanant des entreprises, des administrations, de l’enseignement et, d’une manière générale, des milieux socio-économiques et culturels.</w:t>
      </w:r>
    </w:p>
    <w:p>
      <w:pPr>
        <w:spacing w:after="120"/>
        <w:ind w:left="860" w:hanging="434"/>
        <w:jc w:val="both"/>
        <w:rPr>
          <w:b/>
          <w:szCs w:val="22"/>
        </w:rPr>
      </w:pPr>
      <w:r>
        <w:rPr>
          <w:b/>
          <w:szCs w:val="22"/>
        </w:rPr>
        <w:t>1.2.</w:t>
      </w:r>
      <w:r>
        <w:rPr>
          <w:b/>
          <w:szCs w:val="22"/>
        </w:rPr>
        <w:tab/>
        <w:t>Finalités particulières</w:t>
      </w:r>
    </w:p>
    <w:p>
      <w:pPr>
        <w:spacing w:after="120"/>
        <w:ind w:left="851"/>
        <w:jc w:val="both"/>
        <w:rPr>
          <w:szCs w:val="22"/>
        </w:rPr>
      </w:pPr>
      <w:r>
        <w:rPr>
          <w:szCs w:val="22"/>
        </w:rPr>
        <w:t>Cette unité d’enseignement vise à permettre à l’étudiant de s’approprier le fonctionnement du système visuel sensori-moteur, d’aborder les méthodes d’examen et d’identifier les strabismes concomitants.</w:t>
      </w:r>
    </w:p>
    <w:p>
      <w:pPr>
        <w:spacing w:after="120"/>
        <w:jc w:val="both"/>
        <w:rPr>
          <w:szCs w:val="22"/>
        </w:rPr>
      </w:pPr>
    </w:p>
    <w:p>
      <w:pPr>
        <w:spacing w:after="120"/>
        <w:ind w:left="426" w:hanging="284"/>
        <w:jc w:val="both"/>
        <w:rPr>
          <w:szCs w:val="22"/>
        </w:rPr>
      </w:pPr>
      <w:r>
        <w:rPr>
          <w:b/>
          <w:szCs w:val="22"/>
        </w:rPr>
        <w:t>2.</w:t>
      </w:r>
      <w:r>
        <w:rPr>
          <w:b/>
          <w:szCs w:val="22"/>
        </w:rPr>
        <w:tab/>
        <w:t>CAPACITES PREALABLES REQUISES</w:t>
      </w:r>
    </w:p>
    <w:p>
      <w:pPr>
        <w:numPr>
          <w:ilvl w:val="1"/>
          <w:numId w:val="1"/>
        </w:numPr>
        <w:spacing w:after="120"/>
        <w:jc w:val="both"/>
        <w:rPr>
          <w:b/>
          <w:szCs w:val="22"/>
        </w:rPr>
      </w:pPr>
      <w:r>
        <w:rPr>
          <w:b/>
          <w:szCs w:val="22"/>
        </w:rPr>
        <w:t>Capacités</w:t>
      </w:r>
    </w:p>
    <w:p>
      <w:pPr>
        <w:spacing w:after="120"/>
        <w:ind w:left="860"/>
        <w:jc w:val="both"/>
        <w:rPr>
          <w:b/>
          <w:szCs w:val="22"/>
        </w:rPr>
      </w:pPr>
      <w:r>
        <w:rPr>
          <w:b/>
          <w:szCs w:val="22"/>
        </w:rPr>
        <w:t>En anatomie et physiologie du système visuel,</w:t>
      </w:r>
    </w:p>
    <w:p>
      <w:pPr>
        <w:numPr>
          <w:ilvl w:val="0"/>
          <w:numId w:val="5"/>
        </w:numPr>
        <w:tabs>
          <w:tab w:val="clear" w:pos="360"/>
          <w:tab w:val="num" w:pos="1134"/>
        </w:tabs>
        <w:spacing w:after="120"/>
        <w:ind w:left="1134" w:hanging="283"/>
        <w:jc w:val="both"/>
        <w:rPr>
          <w:szCs w:val="22"/>
        </w:rPr>
      </w:pPr>
      <w:r>
        <w:rPr>
          <w:szCs w:val="22"/>
        </w:rPr>
        <w:t>légender et interpréter un schéma de façon détaillée et de dessiner les différents composants de l’œil ;</w:t>
      </w:r>
    </w:p>
    <w:p>
      <w:pPr>
        <w:numPr>
          <w:ilvl w:val="0"/>
          <w:numId w:val="5"/>
        </w:numPr>
        <w:tabs>
          <w:tab w:val="clear" w:pos="360"/>
          <w:tab w:val="num" w:pos="1134"/>
        </w:tabs>
        <w:spacing w:after="120"/>
        <w:ind w:left="1134" w:hanging="283"/>
        <w:jc w:val="both"/>
        <w:rPr>
          <w:szCs w:val="22"/>
        </w:rPr>
      </w:pPr>
      <w:r>
        <w:rPr>
          <w:szCs w:val="22"/>
        </w:rPr>
        <w:t>expliquer l’embryologie, la structure générale, l’histologie, l’innervation et la vascularisation des différentes parties du globe oculaire, de ses annexes et de ses voies optiques et de les intégrer aux différents composants de la tête ;</w:t>
      </w:r>
    </w:p>
    <w:p>
      <w:pPr>
        <w:numPr>
          <w:ilvl w:val="0"/>
          <w:numId w:val="5"/>
        </w:numPr>
        <w:tabs>
          <w:tab w:val="clear" w:pos="360"/>
          <w:tab w:val="num" w:pos="1134"/>
        </w:tabs>
        <w:spacing w:after="120"/>
        <w:ind w:left="1134" w:hanging="283"/>
        <w:jc w:val="both"/>
        <w:rPr>
          <w:szCs w:val="22"/>
        </w:rPr>
      </w:pPr>
      <w:r>
        <w:rPr>
          <w:szCs w:val="22"/>
        </w:rPr>
        <w:t>expliquer les modes de fonctionnement des différents tissus constituant l’œil et ses annexes ;</w:t>
      </w:r>
    </w:p>
    <w:p>
      <w:pPr>
        <w:numPr>
          <w:ilvl w:val="0"/>
          <w:numId w:val="5"/>
        </w:numPr>
        <w:tabs>
          <w:tab w:val="clear" w:pos="360"/>
          <w:tab w:val="num" w:pos="1134"/>
        </w:tabs>
        <w:spacing w:after="120"/>
        <w:ind w:left="1134" w:hanging="283"/>
        <w:jc w:val="both"/>
        <w:rPr>
          <w:szCs w:val="22"/>
        </w:rPr>
      </w:pPr>
      <w:r>
        <w:rPr>
          <w:szCs w:val="22"/>
        </w:rPr>
        <w:t>expliquer les liens fonctionnels entre l’accommodation et la convergence ;</w:t>
      </w:r>
    </w:p>
    <w:p>
      <w:pPr>
        <w:numPr>
          <w:ilvl w:val="0"/>
          <w:numId w:val="5"/>
        </w:numPr>
        <w:tabs>
          <w:tab w:val="clear" w:pos="360"/>
          <w:tab w:val="num" w:pos="1134"/>
        </w:tabs>
        <w:spacing w:after="120"/>
        <w:ind w:left="1134" w:hanging="283"/>
        <w:jc w:val="both"/>
        <w:rPr>
          <w:szCs w:val="22"/>
        </w:rPr>
      </w:pPr>
      <w:r>
        <w:rPr>
          <w:szCs w:val="22"/>
        </w:rPr>
        <w:t>expliciter les mécanismes de la perception colorée.</w:t>
      </w:r>
    </w:p>
    <w:p>
      <w:pPr>
        <w:numPr>
          <w:ilvl w:val="1"/>
          <w:numId w:val="1"/>
        </w:numPr>
        <w:spacing w:after="120"/>
        <w:jc w:val="both"/>
        <w:rPr>
          <w:b/>
          <w:szCs w:val="22"/>
        </w:rPr>
      </w:pPr>
      <w:r>
        <w:rPr>
          <w:b/>
          <w:szCs w:val="22"/>
        </w:rPr>
        <w:t>Titre pouvant en tenir lieu</w:t>
      </w:r>
    </w:p>
    <w:p>
      <w:pPr>
        <w:pStyle w:val="Corpsdetexte"/>
        <w:ind w:left="851" w:firstLine="0"/>
        <w:jc w:val="both"/>
        <w:rPr>
          <w:szCs w:val="22"/>
        </w:rPr>
      </w:pPr>
      <w:r>
        <w:rPr>
          <w:szCs w:val="22"/>
        </w:rPr>
        <w:t xml:space="preserve">Attestation de réussite de l’unité d’enseignement « Anatomie et physiologie du système visuel  » - code N° 824608U34D1. </w:t>
      </w:r>
    </w:p>
    <w:p>
      <w:pPr>
        <w:spacing w:after="120"/>
        <w:jc w:val="both"/>
        <w:rPr>
          <w:szCs w:val="22"/>
        </w:rPr>
      </w:pPr>
    </w:p>
    <w:p>
      <w:pPr>
        <w:spacing w:after="120"/>
        <w:ind w:left="426" w:hanging="284"/>
        <w:jc w:val="both"/>
        <w:rPr>
          <w:b/>
          <w:szCs w:val="22"/>
        </w:rPr>
      </w:pPr>
      <w:r>
        <w:rPr>
          <w:b/>
          <w:szCs w:val="22"/>
        </w:rPr>
        <w:t>3.</w:t>
      </w:r>
      <w:r>
        <w:rPr>
          <w:b/>
          <w:szCs w:val="22"/>
        </w:rPr>
        <w:tab/>
        <w:t>ACQUIS D’APPRENTISSAGE</w:t>
      </w:r>
    </w:p>
    <w:p>
      <w:pPr>
        <w:spacing w:after="120"/>
        <w:ind w:firstLine="426"/>
        <w:jc w:val="both"/>
        <w:rPr>
          <w:b/>
          <w:szCs w:val="22"/>
        </w:rPr>
      </w:pPr>
      <w:r>
        <w:rPr>
          <w:b/>
          <w:szCs w:val="22"/>
        </w:rPr>
        <w:t>Pour atteindre le seuil de réussite, l’étudiant sera capable :</w:t>
      </w:r>
    </w:p>
    <w:p>
      <w:pPr>
        <w:spacing w:after="120"/>
        <w:ind w:left="426"/>
        <w:jc w:val="both"/>
        <w:rPr>
          <w:i/>
          <w:szCs w:val="22"/>
        </w:rPr>
      </w:pPr>
      <w:proofErr w:type="gramStart"/>
      <w:r>
        <w:rPr>
          <w:i/>
          <w:szCs w:val="22"/>
        </w:rPr>
        <w:t>pour</w:t>
      </w:r>
      <w:proofErr w:type="gramEnd"/>
      <w:r>
        <w:rPr>
          <w:i/>
          <w:szCs w:val="22"/>
        </w:rPr>
        <w:t xml:space="preserve"> une situation professionnelle d’orthoptie définie,</w:t>
      </w:r>
    </w:p>
    <w:p>
      <w:pPr>
        <w:spacing w:after="120"/>
        <w:ind w:left="426"/>
        <w:jc w:val="both"/>
        <w:rPr>
          <w:i/>
          <w:szCs w:val="22"/>
        </w:rPr>
      </w:pPr>
      <w:proofErr w:type="gramStart"/>
      <w:r>
        <w:rPr>
          <w:i/>
          <w:szCs w:val="22"/>
          <w:lang w:val="fr-BE"/>
        </w:rPr>
        <w:t>en</w:t>
      </w:r>
      <w:proofErr w:type="gramEnd"/>
      <w:r>
        <w:rPr>
          <w:i/>
          <w:szCs w:val="22"/>
          <w:lang w:val="fr-BE"/>
        </w:rPr>
        <w:t xml:space="preserve"> disposant de la documentation nécessaire (résultats d’examens cliniques, d’examens visuels, projections…)</w:t>
      </w:r>
    </w:p>
    <w:p>
      <w:pPr>
        <w:pStyle w:val="Paragraphedeliste"/>
        <w:numPr>
          <w:ilvl w:val="0"/>
          <w:numId w:val="10"/>
        </w:numPr>
        <w:spacing w:after="120"/>
        <w:contextualSpacing w:val="0"/>
        <w:jc w:val="both"/>
        <w:rPr>
          <w:szCs w:val="22"/>
        </w:rPr>
      </w:pPr>
      <w:r>
        <w:rPr>
          <w:szCs w:val="22"/>
        </w:rPr>
        <w:t>de différencier et de classifier les mécanismes de fonctionnement de la motilité oculaire ;</w:t>
      </w:r>
    </w:p>
    <w:p>
      <w:pPr>
        <w:pStyle w:val="Paragraphedeliste"/>
        <w:numPr>
          <w:ilvl w:val="0"/>
          <w:numId w:val="10"/>
        </w:numPr>
        <w:spacing w:after="120"/>
        <w:contextualSpacing w:val="0"/>
        <w:jc w:val="both"/>
        <w:rPr>
          <w:szCs w:val="22"/>
        </w:rPr>
      </w:pPr>
      <w:r>
        <w:rPr>
          <w:szCs w:val="22"/>
        </w:rPr>
        <w:t>de définir les éléments de la vision binoculaire ;</w:t>
      </w:r>
    </w:p>
    <w:p>
      <w:pPr>
        <w:pStyle w:val="Paragraphedeliste"/>
        <w:numPr>
          <w:ilvl w:val="0"/>
          <w:numId w:val="10"/>
        </w:numPr>
        <w:spacing w:after="120"/>
        <w:contextualSpacing w:val="0"/>
        <w:jc w:val="both"/>
        <w:rPr>
          <w:szCs w:val="22"/>
        </w:rPr>
      </w:pPr>
      <w:r>
        <w:rPr>
          <w:szCs w:val="22"/>
        </w:rPr>
        <w:lastRenderedPageBreak/>
        <w:t>d’expliciter la mise en place de la vision binoculaire ;</w:t>
      </w:r>
    </w:p>
    <w:p>
      <w:pPr>
        <w:pStyle w:val="Paragraphedeliste"/>
        <w:numPr>
          <w:ilvl w:val="0"/>
          <w:numId w:val="10"/>
        </w:numPr>
        <w:spacing w:after="120"/>
        <w:contextualSpacing w:val="0"/>
        <w:jc w:val="both"/>
        <w:rPr>
          <w:szCs w:val="22"/>
        </w:rPr>
      </w:pPr>
      <w:r>
        <w:rPr>
          <w:szCs w:val="22"/>
        </w:rPr>
        <w:t>d’identifier le type de strabisme concomitant.</w:t>
      </w:r>
    </w:p>
    <w:p>
      <w:pPr>
        <w:spacing w:after="120"/>
        <w:ind w:firstLine="426"/>
        <w:jc w:val="both"/>
        <w:rPr>
          <w:b/>
          <w:szCs w:val="22"/>
        </w:rPr>
      </w:pPr>
      <w:r>
        <w:rPr>
          <w:b/>
          <w:szCs w:val="22"/>
        </w:rPr>
        <w:t>Pour la détermination du degré de maîtrise, il sera tenu compte des critères suivants :</w:t>
      </w:r>
    </w:p>
    <w:p>
      <w:pPr>
        <w:numPr>
          <w:ilvl w:val="0"/>
          <w:numId w:val="3"/>
        </w:numPr>
        <w:tabs>
          <w:tab w:val="clear" w:pos="360"/>
          <w:tab w:val="num" w:pos="709"/>
        </w:tabs>
        <w:spacing w:after="120"/>
        <w:ind w:left="709" w:hanging="283"/>
        <w:jc w:val="both"/>
        <w:rPr>
          <w:szCs w:val="22"/>
        </w:rPr>
      </w:pPr>
      <w:r>
        <w:rPr>
          <w:szCs w:val="22"/>
        </w:rPr>
        <w:t>le niveau de précision : la clarté, la concision, la rigueur au niveau de la terminologie, des concepts et des techniques/principes/modèles ;</w:t>
      </w:r>
    </w:p>
    <w:p>
      <w:pPr>
        <w:numPr>
          <w:ilvl w:val="0"/>
          <w:numId w:val="3"/>
        </w:numPr>
        <w:tabs>
          <w:tab w:val="clear" w:pos="360"/>
          <w:tab w:val="num" w:pos="709"/>
        </w:tabs>
        <w:spacing w:after="120"/>
        <w:ind w:left="709" w:hanging="283"/>
        <w:jc w:val="both"/>
        <w:rPr>
          <w:szCs w:val="22"/>
        </w:rPr>
      </w:pPr>
      <w:r>
        <w:rPr>
          <w:szCs w:val="22"/>
        </w:rPr>
        <w:t>le niveau d’intégration : la capacité à s’approprier des notions, concepts, techniques et démarches en les intégrant dans son analyse, son argumentation, sa pratique ou la recherche de solutions.</w:t>
      </w:r>
    </w:p>
    <w:p>
      <w:pPr>
        <w:spacing w:after="120"/>
        <w:jc w:val="both"/>
        <w:rPr>
          <w:szCs w:val="22"/>
        </w:rPr>
      </w:pPr>
    </w:p>
    <w:p>
      <w:pPr>
        <w:spacing w:after="120"/>
        <w:ind w:left="426" w:hanging="284"/>
        <w:jc w:val="both"/>
        <w:rPr>
          <w:b/>
          <w:szCs w:val="22"/>
        </w:rPr>
      </w:pPr>
      <w:r>
        <w:rPr>
          <w:b/>
          <w:szCs w:val="22"/>
        </w:rPr>
        <w:t>4.</w:t>
      </w:r>
      <w:r>
        <w:rPr>
          <w:b/>
          <w:szCs w:val="22"/>
        </w:rPr>
        <w:tab/>
        <w:t>PROGRAMME</w:t>
      </w:r>
    </w:p>
    <w:p>
      <w:pPr>
        <w:spacing w:after="120"/>
        <w:ind w:firstLine="426"/>
        <w:jc w:val="both"/>
        <w:rPr>
          <w:szCs w:val="22"/>
        </w:rPr>
      </w:pPr>
      <w:r>
        <w:rPr>
          <w:szCs w:val="22"/>
        </w:rPr>
        <w:t>L'étudiant sera capable :</w:t>
      </w:r>
    </w:p>
    <w:p>
      <w:pPr>
        <w:spacing w:after="120"/>
        <w:ind w:firstLine="426"/>
        <w:jc w:val="both"/>
        <w:rPr>
          <w:i/>
          <w:szCs w:val="22"/>
        </w:rPr>
      </w:pPr>
      <w:proofErr w:type="gramStart"/>
      <w:r>
        <w:rPr>
          <w:i/>
          <w:szCs w:val="22"/>
        </w:rPr>
        <w:t>à</w:t>
      </w:r>
      <w:proofErr w:type="gramEnd"/>
      <w:r>
        <w:rPr>
          <w:i/>
          <w:szCs w:val="22"/>
        </w:rPr>
        <w:t xml:space="preserve"> travers des situations professionnelles définies d’orthoptie,</w:t>
      </w:r>
    </w:p>
    <w:p>
      <w:pPr>
        <w:spacing w:after="120"/>
        <w:ind w:left="426"/>
        <w:jc w:val="both"/>
        <w:rPr>
          <w:b/>
          <w:szCs w:val="22"/>
        </w:rPr>
      </w:pPr>
      <w:r>
        <w:rPr>
          <w:b/>
          <w:szCs w:val="22"/>
        </w:rPr>
        <w:t xml:space="preserve">4.1. Approche de la motilité oculaire </w:t>
      </w:r>
    </w:p>
    <w:p>
      <w:pPr>
        <w:pStyle w:val="Paragraphedeliste"/>
        <w:numPr>
          <w:ilvl w:val="0"/>
          <w:numId w:val="7"/>
        </w:numPr>
        <w:spacing w:after="120"/>
        <w:ind w:left="993" w:hanging="284"/>
        <w:contextualSpacing w:val="0"/>
        <w:jc w:val="both"/>
        <w:rPr>
          <w:szCs w:val="22"/>
        </w:rPr>
      </w:pPr>
      <w:r>
        <w:rPr>
          <w:szCs w:val="22"/>
        </w:rPr>
        <w:t>de différencier les systèmes visuels sensoriel et moteur ;</w:t>
      </w:r>
    </w:p>
    <w:p>
      <w:pPr>
        <w:pStyle w:val="Paragraphedeliste"/>
        <w:numPr>
          <w:ilvl w:val="0"/>
          <w:numId w:val="7"/>
        </w:numPr>
        <w:spacing w:after="120"/>
        <w:ind w:left="993" w:hanging="284"/>
        <w:contextualSpacing w:val="0"/>
        <w:jc w:val="both"/>
        <w:rPr>
          <w:szCs w:val="22"/>
        </w:rPr>
      </w:pPr>
      <w:r>
        <w:rPr>
          <w:szCs w:val="22"/>
        </w:rPr>
        <w:t>de définir des éléments de sensorialité indispensables à la compréhension de l’oculomotricité (direction visuelle, correspondance rétinienne, fusion sensorielle et fusion motrice, disparité et disparité de fixation, stéréoscopie …) ;</w:t>
      </w:r>
    </w:p>
    <w:p>
      <w:pPr>
        <w:pStyle w:val="Paragraphedeliste"/>
        <w:numPr>
          <w:ilvl w:val="0"/>
          <w:numId w:val="7"/>
        </w:numPr>
        <w:spacing w:after="120"/>
        <w:ind w:left="993" w:hanging="284"/>
        <w:contextualSpacing w:val="0"/>
        <w:jc w:val="both"/>
        <w:rPr>
          <w:szCs w:val="22"/>
        </w:rPr>
      </w:pPr>
      <w:r>
        <w:rPr>
          <w:szCs w:val="22"/>
        </w:rPr>
        <w:t>d’exposer le système de contrôle visuo-moteur (nature des mouvements oculaires, système de stabilisation et de capture d’image) ;</w:t>
      </w:r>
    </w:p>
    <w:p>
      <w:pPr>
        <w:pStyle w:val="Paragraphedeliste"/>
        <w:numPr>
          <w:ilvl w:val="0"/>
          <w:numId w:val="7"/>
        </w:numPr>
        <w:spacing w:after="120"/>
        <w:ind w:left="993" w:hanging="284"/>
        <w:contextualSpacing w:val="0"/>
        <w:jc w:val="both"/>
        <w:rPr>
          <w:szCs w:val="22"/>
        </w:rPr>
      </w:pPr>
      <w:r>
        <w:rPr>
          <w:szCs w:val="22"/>
        </w:rPr>
        <w:t>de  présenter le fonctionnement et le rôle joué par les muscles oculomoteurs :</w:t>
      </w:r>
    </w:p>
    <w:p>
      <w:pPr>
        <w:pStyle w:val="Paragraphedeliste"/>
        <w:numPr>
          <w:ilvl w:val="1"/>
          <w:numId w:val="7"/>
        </w:numPr>
        <w:spacing w:after="120"/>
        <w:contextualSpacing w:val="0"/>
        <w:jc w:val="both"/>
        <w:rPr>
          <w:szCs w:val="22"/>
        </w:rPr>
      </w:pPr>
      <w:r>
        <w:rPr>
          <w:szCs w:val="22"/>
        </w:rPr>
        <w:t>origine et insertion anatomique et fonctionnelle, caractéristiques, actions et force des muscles oculomoteurs,</w:t>
      </w:r>
    </w:p>
    <w:p>
      <w:pPr>
        <w:pStyle w:val="Paragraphedeliste"/>
        <w:numPr>
          <w:ilvl w:val="1"/>
          <w:numId w:val="7"/>
        </w:numPr>
        <w:spacing w:after="120"/>
        <w:contextualSpacing w:val="0"/>
        <w:jc w:val="both"/>
        <w:rPr>
          <w:szCs w:val="22"/>
        </w:rPr>
      </w:pPr>
      <w:r>
        <w:rPr>
          <w:szCs w:val="22"/>
        </w:rPr>
        <w:t>lois fondamentales de l’oculomotricité.</w:t>
      </w:r>
    </w:p>
    <w:p>
      <w:pPr>
        <w:spacing w:after="120"/>
        <w:ind w:left="426"/>
        <w:jc w:val="both"/>
        <w:rPr>
          <w:b/>
          <w:szCs w:val="22"/>
        </w:rPr>
      </w:pPr>
      <w:r>
        <w:rPr>
          <w:b/>
          <w:szCs w:val="22"/>
        </w:rPr>
        <w:t>4.2. Introduction à la vision binoculaire normale et anormale, aspects sensoriel et moteur</w:t>
      </w:r>
    </w:p>
    <w:p>
      <w:pPr>
        <w:pStyle w:val="Paragraphedeliste"/>
        <w:numPr>
          <w:ilvl w:val="0"/>
          <w:numId w:val="7"/>
        </w:numPr>
        <w:spacing w:after="120"/>
        <w:ind w:left="993" w:hanging="284"/>
        <w:contextualSpacing w:val="0"/>
        <w:jc w:val="both"/>
        <w:rPr>
          <w:szCs w:val="22"/>
        </w:rPr>
      </w:pPr>
      <w:r>
        <w:rPr>
          <w:szCs w:val="22"/>
        </w:rPr>
        <w:t>d’expliciter les stades du développement visuel normal, et du développement de la vision binoculaire normale et anormale ;</w:t>
      </w:r>
    </w:p>
    <w:p>
      <w:pPr>
        <w:pStyle w:val="Paragraphedeliste"/>
        <w:numPr>
          <w:ilvl w:val="0"/>
          <w:numId w:val="7"/>
        </w:numPr>
        <w:spacing w:after="120"/>
        <w:ind w:left="993" w:hanging="284"/>
        <w:contextualSpacing w:val="0"/>
        <w:jc w:val="both"/>
        <w:rPr>
          <w:szCs w:val="22"/>
        </w:rPr>
      </w:pPr>
      <w:r>
        <w:rPr>
          <w:szCs w:val="22"/>
        </w:rPr>
        <w:t>de citer les conditions de la vision binoculaire ;</w:t>
      </w:r>
    </w:p>
    <w:p>
      <w:pPr>
        <w:pStyle w:val="Paragraphedeliste"/>
        <w:numPr>
          <w:ilvl w:val="0"/>
          <w:numId w:val="7"/>
        </w:numPr>
        <w:spacing w:after="120"/>
        <w:ind w:left="993" w:hanging="284"/>
        <w:contextualSpacing w:val="0"/>
        <w:jc w:val="both"/>
        <w:rPr>
          <w:szCs w:val="22"/>
        </w:rPr>
      </w:pPr>
      <w:r>
        <w:rPr>
          <w:szCs w:val="22"/>
        </w:rPr>
        <w:t>de définir les éléments de la vision monoculaire indispensables à l’étude de la vision binoculaire (points rétiniens et éléments rétino-cérébraux, ligne de direction, localisation rétino-centrique ou oculo-centrique) ;</w:t>
      </w:r>
    </w:p>
    <w:p>
      <w:pPr>
        <w:pStyle w:val="Paragraphedeliste"/>
        <w:numPr>
          <w:ilvl w:val="0"/>
          <w:numId w:val="7"/>
        </w:numPr>
        <w:spacing w:after="120"/>
        <w:ind w:left="993" w:hanging="284"/>
        <w:contextualSpacing w:val="0"/>
        <w:jc w:val="both"/>
        <w:rPr>
          <w:szCs w:val="22"/>
        </w:rPr>
      </w:pPr>
      <w:r>
        <w:rPr>
          <w:szCs w:val="22"/>
        </w:rPr>
        <w:t>de définir les éléments de la vision binoculaire ;</w:t>
      </w:r>
    </w:p>
    <w:p>
      <w:pPr>
        <w:pStyle w:val="Paragraphedeliste"/>
        <w:numPr>
          <w:ilvl w:val="0"/>
          <w:numId w:val="7"/>
        </w:numPr>
        <w:spacing w:after="120"/>
        <w:ind w:left="993" w:hanging="284"/>
        <w:contextualSpacing w:val="0"/>
        <w:jc w:val="both"/>
        <w:rPr>
          <w:szCs w:val="22"/>
        </w:rPr>
      </w:pPr>
      <w:r>
        <w:rPr>
          <w:szCs w:val="22"/>
        </w:rPr>
        <w:t>de citer les mécanismes mis en jeu pour évaluer la sensation du relief monoculaire et d’expliquer les spécificités de la vision stéréoscopique (nature, valeurs, paramètres la modifiant et implication des voies visuelles dans son élaboration).</w:t>
      </w:r>
    </w:p>
    <w:p>
      <w:pPr>
        <w:spacing w:after="120"/>
        <w:ind w:left="426"/>
        <w:jc w:val="both"/>
        <w:rPr>
          <w:b/>
          <w:szCs w:val="22"/>
        </w:rPr>
      </w:pPr>
      <w:r>
        <w:rPr>
          <w:b/>
          <w:szCs w:val="22"/>
        </w:rPr>
        <w:t>4.3. Théorie du strabisme manifeste et latent</w:t>
      </w:r>
    </w:p>
    <w:p>
      <w:pPr>
        <w:pStyle w:val="Paragraphedeliste"/>
        <w:numPr>
          <w:ilvl w:val="0"/>
          <w:numId w:val="7"/>
        </w:numPr>
        <w:spacing w:after="120"/>
        <w:ind w:left="993" w:hanging="284"/>
        <w:contextualSpacing w:val="0"/>
        <w:jc w:val="both"/>
        <w:rPr>
          <w:szCs w:val="22"/>
        </w:rPr>
      </w:pPr>
      <w:r>
        <w:rPr>
          <w:szCs w:val="22"/>
        </w:rPr>
        <w:t>de différencier un strabisme manifeste d’un strabisme latent ;</w:t>
      </w:r>
    </w:p>
    <w:p>
      <w:pPr>
        <w:pStyle w:val="Paragraphedeliste"/>
        <w:numPr>
          <w:ilvl w:val="0"/>
          <w:numId w:val="7"/>
        </w:numPr>
        <w:spacing w:after="120"/>
        <w:ind w:left="993" w:hanging="284"/>
        <w:contextualSpacing w:val="0"/>
        <w:jc w:val="both"/>
        <w:rPr>
          <w:szCs w:val="22"/>
        </w:rPr>
      </w:pPr>
      <w:r>
        <w:rPr>
          <w:szCs w:val="22"/>
        </w:rPr>
        <w:t>de distinguer un strabisme primitif, secondaire (ou sensoriel), résiduel (ou récidivant) et consécutif ;</w:t>
      </w:r>
    </w:p>
    <w:p>
      <w:pPr>
        <w:pStyle w:val="Paragraphedeliste"/>
        <w:numPr>
          <w:ilvl w:val="0"/>
          <w:numId w:val="7"/>
        </w:numPr>
        <w:spacing w:after="120"/>
        <w:ind w:left="993" w:hanging="284"/>
        <w:contextualSpacing w:val="0"/>
        <w:jc w:val="both"/>
        <w:rPr>
          <w:szCs w:val="22"/>
        </w:rPr>
      </w:pPr>
      <w:r>
        <w:rPr>
          <w:szCs w:val="22"/>
        </w:rPr>
        <w:t>d’expliquer l’origine et les conditions d’apparition d’un strabisme ;</w:t>
      </w:r>
    </w:p>
    <w:p>
      <w:pPr>
        <w:pStyle w:val="Paragraphedeliste"/>
        <w:numPr>
          <w:ilvl w:val="0"/>
          <w:numId w:val="7"/>
        </w:numPr>
        <w:spacing w:after="120"/>
        <w:ind w:left="993" w:hanging="284"/>
        <w:contextualSpacing w:val="0"/>
        <w:jc w:val="both"/>
        <w:rPr>
          <w:szCs w:val="22"/>
        </w:rPr>
      </w:pPr>
      <w:r>
        <w:rPr>
          <w:szCs w:val="22"/>
        </w:rPr>
        <w:t>de classifier les strabismes ;</w:t>
      </w:r>
    </w:p>
    <w:p>
      <w:pPr>
        <w:pStyle w:val="Paragraphedeliste"/>
        <w:numPr>
          <w:ilvl w:val="0"/>
          <w:numId w:val="7"/>
        </w:numPr>
        <w:spacing w:after="120"/>
        <w:ind w:left="993" w:hanging="284"/>
        <w:contextualSpacing w:val="0"/>
        <w:jc w:val="both"/>
        <w:rPr>
          <w:szCs w:val="22"/>
        </w:rPr>
      </w:pPr>
      <w:r>
        <w:rPr>
          <w:szCs w:val="22"/>
        </w:rPr>
        <w:t>de décrire les différents strabismes concomitants (définition, étiologies, description clinique, examens cliniques, diagnostique différentiel).</w:t>
      </w:r>
    </w:p>
    <w:p>
      <w:pPr>
        <w:spacing w:after="120"/>
        <w:jc w:val="both"/>
        <w:rPr>
          <w:szCs w:val="22"/>
        </w:rPr>
      </w:pPr>
    </w:p>
    <w:p>
      <w:pPr>
        <w:spacing w:after="120"/>
        <w:ind w:left="426" w:hanging="284"/>
        <w:jc w:val="both"/>
        <w:rPr>
          <w:b/>
          <w:szCs w:val="22"/>
        </w:rPr>
      </w:pPr>
      <w:r>
        <w:rPr>
          <w:b/>
          <w:szCs w:val="22"/>
        </w:rPr>
        <w:t>5.</w:t>
      </w:r>
      <w:r>
        <w:rPr>
          <w:b/>
          <w:szCs w:val="22"/>
        </w:rPr>
        <w:tab/>
      </w:r>
      <w:r>
        <w:rPr>
          <w:b/>
          <w:caps/>
          <w:szCs w:val="22"/>
        </w:rPr>
        <w:t>Constitution des groupes ou regroupement</w:t>
      </w:r>
    </w:p>
    <w:p>
      <w:pPr>
        <w:spacing w:after="120"/>
        <w:ind w:left="567" w:hanging="141"/>
        <w:jc w:val="both"/>
        <w:rPr>
          <w:szCs w:val="22"/>
        </w:rPr>
      </w:pPr>
      <w:r>
        <w:rPr>
          <w:szCs w:val="22"/>
        </w:rPr>
        <w:t>Aucune recommandation particulière</w:t>
      </w:r>
    </w:p>
    <w:p>
      <w:pPr>
        <w:spacing w:after="120"/>
        <w:ind w:left="567" w:hanging="141"/>
        <w:jc w:val="both"/>
        <w:rPr>
          <w:szCs w:val="22"/>
        </w:rPr>
      </w:pPr>
    </w:p>
    <w:p>
      <w:pPr>
        <w:spacing w:after="120"/>
        <w:ind w:left="426" w:hanging="284"/>
        <w:jc w:val="both"/>
        <w:rPr>
          <w:szCs w:val="22"/>
        </w:rPr>
      </w:pPr>
      <w:r>
        <w:rPr>
          <w:b/>
          <w:szCs w:val="22"/>
        </w:rPr>
        <w:t>6.</w:t>
      </w:r>
      <w:r>
        <w:rPr>
          <w:b/>
          <w:szCs w:val="22"/>
        </w:rPr>
        <w:tab/>
        <w:t>CHARGE(S) DE COURS</w:t>
      </w:r>
    </w:p>
    <w:p>
      <w:pPr>
        <w:spacing w:after="120"/>
        <w:ind w:left="426"/>
        <w:jc w:val="both"/>
        <w:rPr>
          <w:szCs w:val="22"/>
        </w:rPr>
      </w:pPr>
      <w:r>
        <w:rPr>
          <w:szCs w:val="22"/>
        </w:rPr>
        <w:t>Le chargé de cours sera un enseignant ou un expert.</w:t>
      </w:r>
    </w:p>
    <w:p>
      <w:pPr>
        <w:spacing w:after="120"/>
        <w:ind w:left="426"/>
        <w:jc w:val="both"/>
        <w:rPr>
          <w:szCs w:val="22"/>
        </w:rPr>
      </w:pPr>
      <w:r>
        <w:rPr>
          <w:szCs w:val="22"/>
        </w:rPr>
        <w:t>L’expert devra justifier de compétences particulières issues d’une expérience professionnelle actualisée en relation avec la charge de cours qui lui est attribuée.</w:t>
      </w:r>
    </w:p>
    <w:p>
      <w:pPr>
        <w:spacing w:after="120"/>
        <w:ind w:left="567" w:hanging="141"/>
        <w:jc w:val="both"/>
        <w:rPr>
          <w:szCs w:val="22"/>
        </w:rPr>
      </w:pPr>
    </w:p>
    <w:p>
      <w:pPr>
        <w:spacing w:after="120"/>
        <w:ind w:left="426" w:hanging="284"/>
        <w:jc w:val="both"/>
        <w:rPr>
          <w:b/>
          <w:szCs w:val="22"/>
        </w:rPr>
      </w:pPr>
      <w:r>
        <w:rPr>
          <w:b/>
          <w:szCs w:val="22"/>
        </w:rPr>
        <w:t>7.</w:t>
      </w:r>
      <w:r>
        <w:rPr>
          <w:b/>
          <w:szCs w:val="22"/>
        </w:rPr>
        <w:tab/>
        <w:t>HORAIRE MINIMUM DE L’UNITE D’ENSEIGNEMENT</w:t>
      </w:r>
    </w:p>
    <w:p>
      <w:pPr>
        <w:ind w:left="426"/>
        <w:rPr>
          <w:b/>
        </w:rPr>
      </w:pPr>
    </w:p>
    <w:tbl>
      <w:tblPr>
        <w:tblW w:w="8930"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36"/>
        <w:gridCol w:w="1559"/>
        <w:gridCol w:w="992"/>
        <w:gridCol w:w="1843"/>
      </w:tblGrid>
      <w:tr>
        <w:tc>
          <w:tcPr>
            <w:tcW w:w="4536" w:type="dxa"/>
          </w:tcPr>
          <w:p>
            <w:pPr>
              <w:ind w:left="71"/>
              <w:rPr>
                <w:szCs w:val="22"/>
              </w:rPr>
            </w:pPr>
          </w:p>
          <w:p>
            <w:pPr>
              <w:pStyle w:val="Titre8"/>
              <w:ind w:hanging="71"/>
              <w:rPr>
                <w:sz w:val="22"/>
                <w:szCs w:val="22"/>
              </w:rPr>
            </w:pPr>
            <w:r>
              <w:rPr>
                <w:sz w:val="22"/>
                <w:szCs w:val="22"/>
              </w:rPr>
              <w:t>7.1. Dénomination des cours</w:t>
            </w:r>
          </w:p>
          <w:p>
            <w:pPr>
              <w:ind w:left="71"/>
              <w:rPr>
                <w:szCs w:val="22"/>
              </w:rPr>
            </w:pPr>
          </w:p>
        </w:tc>
        <w:tc>
          <w:tcPr>
            <w:tcW w:w="1559" w:type="dxa"/>
          </w:tcPr>
          <w:p>
            <w:pPr>
              <w:jc w:val="center"/>
              <w:rPr>
                <w:b/>
                <w:szCs w:val="22"/>
              </w:rPr>
            </w:pPr>
          </w:p>
          <w:p>
            <w:pPr>
              <w:jc w:val="center"/>
              <w:rPr>
                <w:b/>
                <w:szCs w:val="22"/>
              </w:rPr>
            </w:pPr>
            <w:r>
              <w:rPr>
                <w:b/>
                <w:szCs w:val="22"/>
              </w:rPr>
              <w:t>Classement des cours</w:t>
            </w:r>
          </w:p>
        </w:tc>
        <w:tc>
          <w:tcPr>
            <w:tcW w:w="992" w:type="dxa"/>
          </w:tcPr>
          <w:p>
            <w:pPr>
              <w:rPr>
                <w:b/>
                <w:szCs w:val="22"/>
              </w:rPr>
            </w:pPr>
          </w:p>
          <w:p>
            <w:pPr>
              <w:jc w:val="center"/>
              <w:rPr>
                <w:b/>
                <w:szCs w:val="22"/>
              </w:rPr>
            </w:pPr>
            <w:r>
              <w:rPr>
                <w:b/>
                <w:szCs w:val="22"/>
              </w:rPr>
              <w:t>Code U</w:t>
            </w:r>
          </w:p>
        </w:tc>
        <w:tc>
          <w:tcPr>
            <w:tcW w:w="1843" w:type="dxa"/>
          </w:tcPr>
          <w:p>
            <w:pPr>
              <w:jc w:val="center"/>
              <w:rPr>
                <w:b/>
                <w:szCs w:val="22"/>
              </w:rPr>
            </w:pPr>
          </w:p>
          <w:p>
            <w:pPr>
              <w:jc w:val="center"/>
              <w:rPr>
                <w:b/>
                <w:szCs w:val="22"/>
              </w:rPr>
            </w:pPr>
            <w:r>
              <w:rPr>
                <w:b/>
                <w:szCs w:val="22"/>
              </w:rPr>
              <w:t xml:space="preserve">Nombre de périodes </w:t>
            </w:r>
          </w:p>
        </w:tc>
      </w:tr>
      <w:tr>
        <w:tc>
          <w:tcPr>
            <w:tcW w:w="4536" w:type="dxa"/>
            <w:tcBorders>
              <w:bottom w:val="single" w:sz="4" w:space="0" w:color="auto"/>
            </w:tcBorders>
          </w:tcPr>
          <w:p>
            <w:pPr>
              <w:rPr>
                <w:szCs w:val="22"/>
              </w:rPr>
            </w:pPr>
            <w:r>
              <w:rPr>
                <w:szCs w:val="22"/>
              </w:rPr>
              <w:t>Approche de la motilité oculaire</w:t>
            </w:r>
          </w:p>
        </w:tc>
        <w:tc>
          <w:tcPr>
            <w:tcW w:w="1559" w:type="dxa"/>
            <w:tcBorders>
              <w:bottom w:val="single" w:sz="4" w:space="0" w:color="auto"/>
            </w:tcBorders>
          </w:tcPr>
          <w:p>
            <w:pPr>
              <w:jc w:val="center"/>
              <w:rPr>
                <w:szCs w:val="22"/>
              </w:rPr>
            </w:pPr>
            <w:r>
              <w:rPr>
                <w:szCs w:val="22"/>
              </w:rPr>
              <w:t>CT</w:t>
            </w:r>
          </w:p>
        </w:tc>
        <w:tc>
          <w:tcPr>
            <w:tcW w:w="992" w:type="dxa"/>
            <w:tcBorders>
              <w:bottom w:val="single" w:sz="4" w:space="0" w:color="auto"/>
            </w:tcBorders>
          </w:tcPr>
          <w:p>
            <w:pPr>
              <w:jc w:val="center"/>
              <w:rPr>
                <w:szCs w:val="22"/>
              </w:rPr>
            </w:pPr>
            <w:r>
              <w:rPr>
                <w:szCs w:val="22"/>
              </w:rPr>
              <w:t>B</w:t>
            </w:r>
          </w:p>
        </w:tc>
        <w:tc>
          <w:tcPr>
            <w:tcW w:w="1843" w:type="dxa"/>
            <w:tcBorders>
              <w:bottom w:val="single" w:sz="4" w:space="0" w:color="auto"/>
            </w:tcBorders>
          </w:tcPr>
          <w:p>
            <w:pPr>
              <w:pStyle w:val="Notedebasdepage"/>
              <w:tabs>
                <w:tab w:val="right" w:pos="968"/>
              </w:tabs>
              <w:jc w:val="center"/>
              <w:rPr>
                <w:szCs w:val="22"/>
              </w:rPr>
            </w:pPr>
            <w:r>
              <w:rPr>
                <w:szCs w:val="22"/>
              </w:rPr>
              <w:t>24</w:t>
            </w:r>
          </w:p>
        </w:tc>
      </w:tr>
      <w:tr>
        <w:tc>
          <w:tcPr>
            <w:tcW w:w="4536" w:type="dxa"/>
            <w:tcBorders>
              <w:top w:val="single" w:sz="4" w:space="0" w:color="auto"/>
              <w:bottom w:val="single" w:sz="4" w:space="0" w:color="auto"/>
            </w:tcBorders>
          </w:tcPr>
          <w:p>
            <w:pPr>
              <w:rPr>
                <w:szCs w:val="22"/>
              </w:rPr>
            </w:pPr>
            <w:r>
              <w:rPr>
                <w:szCs w:val="22"/>
              </w:rPr>
              <w:t>Introduction à la vision binoculaire normale et anormale, aspects sensoriel et moteur</w:t>
            </w:r>
          </w:p>
        </w:tc>
        <w:tc>
          <w:tcPr>
            <w:tcW w:w="1559" w:type="dxa"/>
            <w:tcBorders>
              <w:top w:val="single" w:sz="4" w:space="0" w:color="auto"/>
              <w:bottom w:val="single" w:sz="4" w:space="0" w:color="auto"/>
            </w:tcBorders>
          </w:tcPr>
          <w:p>
            <w:pPr>
              <w:jc w:val="center"/>
              <w:rPr>
                <w:szCs w:val="22"/>
              </w:rPr>
            </w:pPr>
            <w:r>
              <w:rPr>
                <w:szCs w:val="22"/>
              </w:rPr>
              <w:t>CT</w:t>
            </w:r>
          </w:p>
        </w:tc>
        <w:tc>
          <w:tcPr>
            <w:tcW w:w="992" w:type="dxa"/>
            <w:tcBorders>
              <w:top w:val="single" w:sz="4" w:space="0" w:color="auto"/>
              <w:bottom w:val="single" w:sz="4" w:space="0" w:color="auto"/>
            </w:tcBorders>
          </w:tcPr>
          <w:p>
            <w:pPr>
              <w:jc w:val="center"/>
              <w:rPr>
                <w:szCs w:val="22"/>
              </w:rPr>
            </w:pPr>
            <w:r>
              <w:rPr>
                <w:szCs w:val="22"/>
              </w:rPr>
              <w:t>B</w:t>
            </w:r>
          </w:p>
        </w:tc>
        <w:tc>
          <w:tcPr>
            <w:tcW w:w="1843" w:type="dxa"/>
            <w:tcBorders>
              <w:top w:val="single" w:sz="4" w:space="0" w:color="auto"/>
              <w:bottom w:val="single" w:sz="4" w:space="0" w:color="auto"/>
            </w:tcBorders>
          </w:tcPr>
          <w:p>
            <w:pPr>
              <w:pStyle w:val="Notedebasdepage"/>
              <w:tabs>
                <w:tab w:val="right" w:pos="968"/>
              </w:tabs>
              <w:jc w:val="center"/>
              <w:rPr>
                <w:szCs w:val="22"/>
              </w:rPr>
            </w:pPr>
            <w:r>
              <w:rPr>
                <w:szCs w:val="22"/>
              </w:rPr>
              <w:t>24</w:t>
            </w:r>
          </w:p>
        </w:tc>
      </w:tr>
      <w:tr>
        <w:tc>
          <w:tcPr>
            <w:tcW w:w="4536" w:type="dxa"/>
            <w:tcBorders>
              <w:top w:val="single" w:sz="4" w:space="0" w:color="auto"/>
              <w:bottom w:val="nil"/>
            </w:tcBorders>
          </w:tcPr>
          <w:p>
            <w:pPr>
              <w:rPr>
                <w:szCs w:val="22"/>
              </w:rPr>
            </w:pPr>
            <w:r>
              <w:rPr>
                <w:szCs w:val="22"/>
              </w:rPr>
              <w:t>Théorie du strabisme manifeste et latent</w:t>
            </w:r>
          </w:p>
        </w:tc>
        <w:tc>
          <w:tcPr>
            <w:tcW w:w="1559" w:type="dxa"/>
            <w:tcBorders>
              <w:top w:val="single" w:sz="4" w:space="0" w:color="auto"/>
              <w:bottom w:val="nil"/>
            </w:tcBorders>
          </w:tcPr>
          <w:p>
            <w:pPr>
              <w:jc w:val="center"/>
              <w:rPr>
                <w:szCs w:val="22"/>
              </w:rPr>
            </w:pPr>
            <w:r>
              <w:rPr>
                <w:szCs w:val="22"/>
              </w:rPr>
              <w:t>CT</w:t>
            </w:r>
          </w:p>
        </w:tc>
        <w:tc>
          <w:tcPr>
            <w:tcW w:w="992" w:type="dxa"/>
            <w:tcBorders>
              <w:top w:val="single" w:sz="4" w:space="0" w:color="auto"/>
              <w:bottom w:val="nil"/>
            </w:tcBorders>
          </w:tcPr>
          <w:p>
            <w:pPr>
              <w:jc w:val="center"/>
              <w:rPr>
                <w:szCs w:val="22"/>
              </w:rPr>
            </w:pPr>
            <w:r>
              <w:rPr>
                <w:szCs w:val="22"/>
              </w:rPr>
              <w:t>B</w:t>
            </w:r>
          </w:p>
        </w:tc>
        <w:tc>
          <w:tcPr>
            <w:tcW w:w="1843" w:type="dxa"/>
            <w:tcBorders>
              <w:top w:val="single" w:sz="4" w:space="0" w:color="auto"/>
              <w:bottom w:val="nil"/>
            </w:tcBorders>
          </w:tcPr>
          <w:p>
            <w:pPr>
              <w:pStyle w:val="Notedebasdepage"/>
              <w:tabs>
                <w:tab w:val="right" w:pos="968"/>
              </w:tabs>
              <w:jc w:val="center"/>
              <w:rPr>
                <w:szCs w:val="22"/>
              </w:rPr>
            </w:pPr>
            <w:r>
              <w:rPr>
                <w:szCs w:val="22"/>
              </w:rPr>
              <w:t>16</w:t>
            </w:r>
          </w:p>
        </w:tc>
      </w:tr>
      <w:tr>
        <w:trPr>
          <w:cantSplit/>
        </w:trPr>
        <w:tc>
          <w:tcPr>
            <w:tcW w:w="6095" w:type="dxa"/>
            <w:gridSpan w:val="2"/>
            <w:tcBorders>
              <w:right w:val="nil"/>
            </w:tcBorders>
          </w:tcPr>
          <w:p>
            <w:pPr>
              <w:pStyle w:val="Notedebasdepage"/>
              <w:rPr>
                <w:szCs w:val="22"/>
              </w:rPr>
            </w:pPr>
            <w:r>
              <w:rPr>
                <w:b/>
                <w:szCs w:val="22"/>
              </w:rPr>
              <w:t>7.2. Part d’autonomie</w:t>
            </w:r>
          </w:p>
        </w:tc>
        <w:tc>
          <w:tcPr>
            <w:tcW w:w="992" w:type="dxa"/>
            <w:tcBorders>
              <w:right w:val="nil"/>
            </w:tcBorders>
          </w:tcPr>
          <w:p>
            <w:pPr>
              <w:jc w:val="center"/>
              <w:rPr>
                <w:szCs w:val="22"/>
              </w:rPr>
            </w:pPr>
            <w:r>
              <w:rPr>
                <w:szCs w:val="22"/>
              </w:rPr>
              <w:t>P</w:t>
            </w:r>
          </w:p>
        </w:tc>
        <w:tc>
          <w:tcPr>
            <w:tcW w:w="1843" w:type="dxa"/>
          </w:tcPr>
          <w:p>
            <w:pPr>
              <w:pStyle w:val="Texte"/>
              <w:tabs>
                <w:tab w:val="right" w:pos="968"/>
              </w:tabs>
              <w:jc w:val="center"/>
              <w:rPr>
                <w:rFonts w:ascii="Times New Roman" w:hAnsi="Times New Roman"/>
                <w:noProof w:val="0"/>
                <w:szCs w:val="22"/>
              </w:rPr>
            </w:pPr>
            <w:r>
              <w:rPr>
                <w:rFonts w:ascii="Times New Roman" w:hAnsi="Times New Roman"/>
                <w:noProof w:val="0"/>
                <w:szCs w:val="22"/>
              </w:rPr>
              <w:t>16</w:t>
            </w:r>
          </w:p>
        </w:tc>
      </w:tr>
      <w:tr>
        <w:trPr>
          <w:cantSplit/>
        </w:trPr>
        <w:tc>
          <w:tcPr>
            <w:tcW w:w="6095" w:type="dxa"/>
            <w:gridSpan w:val="2"/>
            <w:tcBorders>
              <w:right w:val="nil"/>
            </w:tcBorders>
          </w:tcPr>
          <w:p>
            <w:pPr>
              <w:pStyle w:val="Notedebasdepage"/>
              <w:rPr>
                <w:b/>
                <w:szCs w:val="22"/>
              </w:rPr>
            </w:pPr>
            <w:r>
              <w:rPr>
                <w:b/>
                <w:szCs w:val="22"/>
              </w:rPr>
              <w:t>Total des périodes</w:t>
            </w:r>
          </w:p>
        </w:tc>
        <w:tc>
          <w:tcPr>
            <w:tcW w:w="992" w:type="dxa"/>
            <w:tcBorders>
              <w:left w:val="nil"/>
              <w:right w:val="nil"/>
            </w:tcBorders>
          </w:tcPr>
          <w:p>
            <w:pPr>
              <w:jc w:val="center"/>
              <w:rPr>
                <w:b/>
                <w:szCs w:val="22"/>
              </w:rPr>
            </w:pPr>
          </w:p>
        </w:tc>
        <w:tc>
          <w:tcPr>
            <w:tcW w:w="1843" w:type="dxa"/>
          </w:tcPr>
          <w:p>
            <w:pPr>
              <w:pStyle w:val="Texte"/>
              <w:tabs>
                <w:tab w:val="right" w:pos="968"/>
              </w:tabs>
              <w:jc w:val="center"/>
              <w:rPr>
                <w:rFonts w:ascii="Times New Roman" w:hAnsi="Times New Roman"/>
                <w:b/>
                <w:noProof w:val="0"/>
                <w:szCs w:val="22"/>
              </w:rPr>
            </w:pPr>
            <w:r>
              <w:rPr>
                <w:rFonts w:ascii="Times New Roman" w:hAnsi="Times New Roman"/>
                <w:b/>
                <w:noProof w:val="0"/>
                <w:szCs w:val="22"/>
              </w:rPr>
              <w:t>80</w:t>
            </w:r>
          </w:p>
        </w:tc>
      </w:tr>
    </w:tbl>
    <w:p/>
    <w:p/>
    <w:sectPr>
      <w:headerReference w:type="even" r:id="rId7"/>
      <w:headerReference w:type="default" r:id="rId8"/>
      <w:footerReference w:type="even" r:id="rId9"/>
      <w:footerReference w:type="default" r:id="rId10"/>
      <w:headerReference w:type="first" r:id="rId11"/>
      <w:footerReference w:type="first" r:id="rId12"/>
      <w:pgSz w:w="11907" w:h="16840"/>
      <w:pgMar w:top="1418" w:right="1417" w:bottom="1418"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Serif">
    <w:altName w:val="Harrington"/>
    <w:panose1 w:val="04000500000000000000"/>
    <w:charset w:val="4D"/>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20"/>
      </w:rPr>
    </w:pPr>
    <w:r>
      <w:rPr>
        <w:color w:val="002060"/>
        <w:sz w:val="20"/>
        <w:lang w:val="fr-BE"/>
      </w:rPr>
      <w:t>Système visuel sensori-moteur</w:t>
    </w:r>
    <w:r>
      <w:rPr>
        <w:color w:val="002060"/>
        <w:sz w:val="20"/>
        <w:lang w:val="fr-BE"/>
      </w:rPr>
      <w:tab/>
    </w:r>
    <w:r>
      <w:rPr>
        <w:color w:val="002060"/>
        <w:sz w:val="20"/>
        <w:lang w:val="fr-BE"/>
      </w:rPr>
      <w:tab/>
    </w:r>
    <w:r>
      <w:rPr>
        <w:color w:val="002060"/>
        <w:sz w:val="20"/>
      </w:rPr>
      <w:t xml:space="preserve">Page </w:t>
    </w:r>
    <w:r>
      <w:rPr>
        <w:bCs/>
        <w:color w:val="002060"/>
        <w:sz w:val="20"/>
      </w:rPr>
      <w:fldChar w:fldCharType="begin"/>
    </w:r>
    <w:r>
      <w:rPr>
        <w:bCs/>
        <w:color w:val="002060"/>
        <w:sz w:val="20"/>
      </w:rPr>
      <w:instrText>PAGE</w:instrText>
    </w:r>
    <w:r>
      <w:rPr>
        <w:bCs/>
        <w:color w:val="002060"/>
        <w:sz w:val="20"/>
      </w:rPr>
      <w:fldChar w:fldCharType="separate"/>
    </w:r>
    <w:r>
      <w:rPr>
        <w:bCs/>
        <w:noProof/>
        <w:color w:val="002060"/>
        <w:sz w:val="20"/>
      </w:rPr>
      <w:t>4</w:t>
    </w:r>
    <w:r>
      <w:rPr>
        <w:color w:val="002060"/>
        <w:sz w:val="20"/>
      </w:rPr>
      <w:fldChar w:fldCharType="end"/>
    </w:r>
    <w:r>
      <w:rPr>
        <w:color w:val="002060"/>
        <w:sz w:val="20"/>
      </w:rPr>
      <w:t xml:space="preserve"> sur </w:t>
    </w:r>
    <w:r>
      <w:rPr>
        <w:bCs/>
        <w:color w:val="002060"/>
        <w:sz w:val="20"/>
      </w:rPr>
      <w:fldChar w:fldCharType="begin"/>
    </w:r>
    <w:r>
      <w:rPr>
        <w:bCs/>
        <w:color w:val="002060"/>
        <w:sz w:val="20"/>
      </w:rPr>
      <w:instrText>NUMPAGES</w:instrText>
    </w:r>
    <w:r>
      <w:rPr>
        <w:bCs/>
        <w:color w:val="002060"/>
        <w:sz w:val="20"/>
      </w:rPr>
      <w:fldChar w:fldCharType="separate"/>
    </w:r>
    <w:r>
      <w:rPr>
        <w:bCs/>
        <w:noProof/>
        <w:color w:val="002060"/>
        <w:sz w:val="20"/>
      </w:rPr>
      <w:t>4</w:t>
    </w:r>
    <w:r>
      <w:rPr>
        <w:color w:val="00206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5449"/>
    <w:multiLevelType w:val="singleLevel"/>
    <w:tmpl w:val="E6DA00DC"/>
    <w:lvl w:ilvl="0">
      <w:start w:val="1"/>
      <w:numFmt w:val="bullet"/>
      <w:lvlText w:val=""/>
      <w:lvlJc w:val="left"/>
      <w:pPr>
        <w:tabs>
          <w:tab w:val="num" w:pos="1494"/>
        </w:tabs>
        <w:ind w:left="1418" w:hanging="284"/>
      </w:pPr>
      <w:rPr>
        <w:rFonts w:ascii="Symbol" w:hAnsi="Symbol" w:hint="default"/>
        <w:sz w:val="18"/>
      </w:rPr>
    </w:lvl>
  </w:abstractNum>
  <w:abstractNum w:abstractNumId="1" w15:restartNumberingAfterBreak="0">
    <w:nsid w:val="1CC56B2D"/>
    <w:multiLevelType w:val="hybridMultilevel"/>
    <w:tmpl w:val="DDE8BBF8"/>
    <w:lvl w:ilvl="0" w:tplc="92B80C04">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043A6"/>
    <w:multiLevelType w:val="hybridMultilevel"/>
    <w:tmpl w:val="FFC6E090"/>
    <w:lvl w:ilvl="0" w:tplc="92B80C04">
      <w:start w:val="1"/>
      <w:numFmt w:val="bullet"/>
      <w:lvlText w:val=""/>
      <w:lvlJc w:val="left"/>
      <w:pPr>
        <w:ind w:left="720" w:hanging="360"/>
      </w:pPr>
      <w:rPr>
        <w:rFonts w:ascii="Symbol" w:hAnsi="Symbol" w:hint="default"/>
        <w:sz w:val="22"/>
      </w:rPr>
    </w:lvl>
    <w:lvl w:ilvl="1" w:tplc="AFDE622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AD793B"/>
    <w:multiLevelType w:val="hybridMultilevel"/>
    <w:tmpl w:val="50064E02"/>
    <w:lvl w:ilvl="0" w:tplc="18B080A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0F5630"/>
    <w:multiLevelType w:val="hybridMultilevel"/>
    <w:tmpl w:val="9418F848"/>
    <w:lvl w:ilvl="0" w:tplc="92B80C04">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4703D2"/>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4E694E30"/>
    <w:multiLevelType w:val="hybridMultilevel"/>
    <w:tmpl w:val="B5D08E48"/>
    <w:lvl w:ilvl="0" w:tplc="EBACBA02">
      <w:start w:val="1"/>
      <w:numFmt w:val="bullet"/>
      <w:lvlText w:val=""/>
      <w:lvlJc w:val="left"/>
      <w:pPr>
        <w:ind w:left="720" w:hanging="360"/>
      </w:pPr>
      <w:rPr>
        <w:rFonts w:ascii="Symbol" w:hAnsi="Symbol" w:hint="default"/>
        <w:strike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392C59"/>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5B6218C1"/>
    <w:multiLevelType w:val="multilevel"/>
    <w:tmpl w:val="B884588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9" w15:restartNumberingAfterBreak="0">
    <w:nsid w:val="7653118C"/>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num w:numId="1">
    <w:abstractNumId w:val="8"/>
  </w:num>
  <w:num w:numId="2">
    <w:abstractNumId w:val="5"/>
  </w:num>
  <w:num w:numId="3">
    <w:abstractNumId w:val="9"/>
  </w:num>
  <w:num w:numId="4">
    <w:abstractNumId w:val="0"/>
  </w:num>
  <w:num w:numId="5">
    <w:abstractNumId w:val="7"/>
  </w:num>
  <w:num w:numId="6">
    <w:abstractNumId w:val="3"/>
  </w:num>
  <w:num w:numId="7">
    <w:abstractNumId w:val="2"/>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2"/>
      <w:szCs w:val="20"/>
      <w:lang w:eastAsia="fr-FR"/>
    </w:rPr>
  </w:style>
  <w:style w:type="paragraph" w:styleId="Titre8">
    <w:name w:val="heading 8"/>
    <w:basedOn w:val="Normal"/>
    <w:next w:val="Normal"/>
    <w:link w:val="Titre8Car"/>
    <w:qFormat/>
    <w:pPr>
      <w:keepNext/>
      <w:ind w:left="71"/>
      <w:outlineLvl w:val="7"/>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sz w:val="20"/>
      <w:szCs w:val="20"/>
      <w:lang w:eastAsia="fr-FR"/>
    </w:rPr>
  </w:style>
  <w:style w:type="paragraph" w:customStyle="1" w:styleId="Texte">
    <w:name w:val="Texte"/>
    <w:basedOn w:val="Normal"/>
    <w:rPr>
      <w:rFonts w:ascii="MS Serif" w:hAnsi="MS Serif"/>
      <w:noProof/>
    </w:rPr>
  </w:style>
  <w:style w:type="paragraph" w:styleId="Pieddepage">
    <w:name w:val="footer"/>
    <w:basedOn w:val="Normal"/>
    <w:link w:val="PieddepageCar"/>
    <w:pPr>
      <w:tabs>
        <w:tab w:val="center" w:pos="4536"/>
        <w:tab w:val="right" w:pos="9072"/>
      </w:tabs>
    </w:pPr>
  </w:style>
  <w:style w:type="character" w:customStyle="1" w:styleId="PieddepageCar">
    <w:name w:val="Pied de page Car"/>
    <w:basedOn w:val="Policepardfaut"/>
    <w:link w:val="Pieddepage"/>
    <w:rPr>
      <w:rFonts w:ascii="Times New Roman" w:eastAsia="Times New Roman" w:hAnsi="Times New Roman" w:cs="Times New Roman"/>
      <w:sz w:val="22"/>
      <w:szCs w:val="20"/>
      <w:lang w:eastAsia="fr-FR"/>
    </w:rPr>
  </w:style>
  <w:style w:type="paragraph" w:styleId="Corpsdetexte">
    <w:name w:val="Body Text"/>
    <w:basedOn w:val="Normal"/>
    <w:link w:val="CorpsdetexteCar"/>
    <w:pPr>
      <w:tabs>
        <w:tab w:val="decimal" w:pos="851"/>
      </w:tabs>
      <w:spacing w:after="120"/>
      <w:ind w:left="907" w:right="-510" w:hanging="113"/>
    </w:pPr>
  </w:style>
  <w:style w:type="character" w:customStyle="1" w:styleId="CorpsdetexteCar">
    <w:name w:val="Corps de texte Car"/>
    <w:basedOn w:val="Policepardfaut"/>
    <w:link w:val="Corpsdetexte"/>
    <w:rPr>
      <w:rFonts w:ascii="Times New Roman" w:eastAsia="Times New Roman" w:hAnsi="Times New Roman" w:cs="Times New Roman"/>
      <w:sz w:val="22"/>
      <w:szCs w:val="20"/>
      <w:lang w:eastAsia="fr-FR"/>
    </w:rPr>
  </w:style>
  <w:style w:type="paragraph" w:styleId="Notedebasdepage">
    <w:name w:val="footnote text"/>
    <w:basedOn w:val="Normal"/>
    <w:link w:val="NotedebasdepageCar"/>
    <w:semiHidden/>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2"/>
      <w:szCs w:val="20"/>
      <w:lang w:eastAsia="fr-FR"/>
    </w:rPr>
  </w:style>
  <w:style w:type="paragraph" w:customStyle="1" w:styleId="tableauc">
    <w:name w:val="tableauc"/>
    <w:basedOn w:val="Normal"/>
    <w:autoRedefine/>
    <w:pPr>
      <w:jc w:val="center"/>
    </w:pPr>
    <w:rPr>
      <w:b/>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2"/>
      <w:szCs w:val="20"/>
      <w:lang w:eastAsia="fr-FR"/>
    </w:rPr>
  </w:style>
  <w:style w:type="character" w:customStyle="1" w:styleId="apple-converted-space">
    <w:name w:val="apple-converted-space"/>
    <w:basedOn w:val="Policepardfaut"/>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goulet02</cp:lastModifiedBy>
  <cp:revision>22</cp:revision>
  <cp:lastPrinted>2019-02-27T12:29:00Z</cp:lastPrinted>
  <dcterms:created xsi:type="dcterms:W3CDTF">2019-03-14T14:11:00Z</dcterms:created>
  <dcterms:modified xsi:type="dcterms:W3CDTF">2019-09-05T14:24:00Z</dcterms:modified>
</cp:coreProperties>
</file>