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0"/>
        </w:rPr>
      </w:pPr>
      <w:r>
        <w:rPr>
          <w:rFonts w:ascii="Times New Roman" w:hAnsi="Times New Roman"/>
          <w:b/>
          <w:noProof w:val="0"/>
          <w:sz w:val="2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spacing w:before="120"/>
        <w:jc w:val="center"/>
        <w:rPr>
          <w:b/>
        </w:rPr>
      </w:pPr>
      <w:bookmarkStart w:id="0" w:name="_Hlk529793239"/>
      <w:r>
        <w:rPr>
          <w:b/>
        </w:rPr>
        <w:t>UNITE D’ENSEIGNEMENT</w:t>
      </w:r>
    </w:p>
    <w:p>
      <w:pPr>
        <w:spacing w:before="120"/>
        <w:jc w:val="center"/>
        <w:rPr>
          <w:b/>
        </w:rPr>
      </w:pPr>
    </w:p>
    <w:bookmarkEnd w:id="0"/>
    <w:p>
      <w:pPr>
        <w:jc w:val="center"/>
        <w:rPr>
          <w:sz w:val="32"/>
        </w:rPr>
      </w:pPr>
    </w:p>
    <w:p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système visuel : METHODES D’EXAMENS</w:t>
      </w:r>
    </w:p>
    <w:p>
      <w:pPr>
        <w:jc w:val="center"/>
        <w:rPr>
          <w:sz w:val="32"/>
        </w:rPr>
      </w:pPr>
    </w:p>
    <w:p>
      <w:pPr>
        <w:pStyle w:val="Texte"/>
        <w:spacing w:before="120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 xml:space="preserve">ENSEIGNEMENT </w:t>
      </w:r>
      <w:r>
        <w:rPr>
          <w:rFonts w:ascii="Times New Roman" w:hAnsi="Times New Roman"/>
          <w:b/>
          <w:caps/>
          <w:noProof w:val="0"/>
        </w:rPr>
        <w:t>SUPERIEUR DE TYPE COURT</w:t>
      </w:r>
    </w:p>
    <w:p>
      <w:pPr>
        <w:jc w:val="center"/>
      </w:pPr>
    </w:p>
    <w:p>
      <w:pPr>
        <w:pStyle w:val="Texte"/>
        <w:spacing w:before="120"/>
        <w:jc w:val="center"/>
        <w:rPr>
          <w:rFonts w:ascii="Times New Roman" w:hAnsi="Times New Roman"/>
          <w:b/>
          <w:noProof w:val="0"/>
        </w:rPr>
      </w:pPr>
      <w:bookmarkStart w:id="1" w:name="_Hlk529792902"/>
      <w:r>
        <w:rPr>
          <w:rFonts w:ascii="Times New Roman" w:hAnsi="Times New Roman"/>
          <w:b/>
          <w:noProof w:val="0"/>
        </w:rPr>
        <w:t>DOMAINE : SCIENCES DE LA SANTE PUBLIQUE</w:t>
      </w:r>
    </w:p>
    <w:bookmarkEnd w:id="1"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Cs w:val="22"/>
                <w:lang w:val="nl-NL"/>
              </w:rPr>
            </w:pPr>
            <w:proofErr w:type="gramStart"/>
            <w:r>
              <w:rPr>
                <w:rFonts w:ascii="Times New Roman" w:hAnsi="Times New Roman"/>
                <w:b/>
                <w:noProof w:val="0"/>
                <w:szCs w:val="22"/>
                <w:lang w:val="nl-NL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noProof w:val="0"/>
                <w:szCs w:val="22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nl-NL"/>
              </w:rPr>
              <w:t>82 46 19 U34 D1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CODE DU DOMAINE DE FORMATION : 804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DOCUMENT DE REFERENCE INTER-RESEAUX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bookmarkStart w:id="2" w:name="_Hlk529793796"/>
      <w:r>
        <w:rPr>
          <w:b/>
        </w:rPr>
        <w:t>Approbation du Gouvernement de la Communauté française du 19 juillet 2019,</w:t>
      </w:r>
      <w:bookmarkStart w:id="3" w:name="_GoBack"/>
      <w:bookmarkEnd w:id="3"/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de Conseil général</w:t>
      </w:r>
    </w:p>
    <w:p>
      <w:pPr>
        <w:pStyle w:val="tableauc"/>
      </w:pPr>
      <w:r>
        <w:br w:type="page"/>
      </w:r>
      <w:bookmarkEnd w:id="2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>
        <w:tc>
          <w:tcPr>
            <w:tcW w:w="91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système VISUEL : methodes d’examens</w:t>
            </w:r>
          </w:p>
          <w:p/>
          <w:p>
            <w:pPr>
              <w:pStyle w:val="Texte"/>
              <w:spacing w:before="120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 xml:space="preserve">ENSEIGNEMENT </w:t>
            </w:r>
            <w:r>
              <w:rPr>
                <w:rFonts w:ascii="Times New Roman" w:hAnsi="Times New Roman"/>
                <w:b/>
                <w:caps/>
                <w:noProof w:val="0"/>
              </w:rPr>
              <w:t>SUPERIEUR DE TYPE COURT</w:t>
            </w:r>
          </w:p>
          <w:p>
            <w:pPr>
              <w:jc w:val="center"/>
              <w:rPr>
                <w:b/>
              </w:rPr>
            </w:pPr>
          </w:p>
        </w:tc>
      </w:tr>
    </w:tbl>
    <w:p/>
    <w:p>
      <w:pPr>
        <w:spacing w:after="120"/>
        <w:ind w:left="426" w:hanging="284"/>
        <w:jc w:val="both"/>
        <w:rPr>
          <w:b/>
          <w:szCs w:val="22"/>
        </w:rPr>
      </w:pPr>
      <w:bookmarkStart w:id="4" w:name="_Hlk529792943"/>
      <w:r>
        <w:rPr>
          <w:b/>
          <w:szCs w:val="22"/>
        </w:rPr>
        <w:t>1.</w:t>
      </w:r>
      <w:r>
        <w:rPr>
          <w:b/>
          <w:szCs w:val="22"/>
        </w:rPr>
        <w:tab/>
        <w:t>FINALITES DE L’UNITE D’ENSEIGNEMENT</w:t>
      </w:r>
    </w:p>
    <w:bookmarkEnd w:id="4"/>
    <w:p>
      <w:pPr>
        <w:spacing w:after="120"/>
        <w:ind w:left="851" w:hanging="425"/>
        <w:jc w:val="both"/>
        <w:rPr>
          <w:b/>
          <w:szCs w:val="22"/>
        </w:rPr>
      </w:pPr>
      <w:r>
        <w:rPr>
          <w:b/>
          <w:szCs w:val="22"/>
        </w:rPr>
        <w:t>1.1.</w:t>
      </w:r>
      <w:r>
        <w:rPr>
          <w:b/>
          <w:szCs w:val="22"/>
        </w:rPr>
        <w:tab/>
        <w:t>Finalités générales</w:t>
      </w:r>
    </w:p>
    <w:p>
      <w:pPr>
        <w:spacing w:after="120"/>
        <w:ind w:left="851"/>
        <w:jc w:val="both"/>
        <w:rPr>
          <w:szCs w:val="22"/>
        </w:rPr>
      </w:pPr>
      <w:r>
        <w:rPr>
          <w:szCs w:val="22"/>
        </w:rP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2"/>
        </w:numPr>
        <w:tabs>
          <w:tab w:val="clear" w:pos="360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2"/>
        </w:numPr>
        <w:tabs>
          <w:tab w:val="clear" w:pos="360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répondre aux besoins et demandes en formation émanant des entreprises, des administrations, de l’enseignement et, d’une manière générale, des milieux socio-économiques et culturels.</w:t>
      </w:r>
    </w:p>
    <w:p>
      <w:pPr>
        <w:spacing w:after="120"/>
        <w:ind w:left="851" w:hanging="425"/>
        <w:jc w:val="both"/>
        <w:rPr>
          <w:b/>
          <w:szCs w:val="22"/>
        </w:rPr>
      </w:pPr>
      <w:r>
        <w:rPr>
          <w:b/>
          <w:szCs w:val="22"/>
        </w:rPr>
        <w:t>1.2.</w:t>
      </w:r>
      <w:r>
        <w:rPr>
          <w:b/>
          <w:szCs w:val="22"/>
        </w:rPr>
        <w:tab/>
        <w:t>Finalités particulières</w:t>
      </w:r>
    </w:p>
    <w:p>
      <w:pPr>
        <w:spacing w:after="120"/>
        <w:ind w:left="851"/>
        <w:jc w:val="both"/>
        <w:rPr>
          <w:szCs w:val="22"/>
        </w:rPr>
      </w:pPr>
      <w:r>
        <w:rPr>
          <w:szCs w:val="22"/>
        </w:rPr>
        <w:t>Cette unité d’enseignement vise à permettre à l’étudiant de proposer un bilan orthoptique et une assistance en ophtalmologie adaptée.</w:t>
      </w:r>
    </w:p>
    <w:p>
      <w:pPr>
        <w:spacing w:after="120"/>
        <w:jc w:val="both"/>
        <w:rPr>
          <w:szCs w:val="22"/>
        </w:rPr>
      </w:pPr>
    </w:p>
    <w:p>
      <w:pPr>
        <w:tabs>
          <w:tab w:val="left" w:pos="426"/>
        </w:tabs>
        <w:spacing w:after="120"/>
        <w:jc w:val="both"/>
        <w:rPr>
          <w:szCs w:val="22"/>
        </w:rPr>
      </w:pPr>
      <w:r>
        <w:rPr>
          <w:b/>
          <w:szCs w:val="22"/>
        </w:rPr>
        <w:t xml:space="preserve">2. </w:t>
      </w:r>
      <w:r>
        <w:rPr>
          <w:b/>
          <w:szCs w:val="22"/>
        </w:rPr>
        <w:tab/>
        <w:t>CAPACITES PREALABLES REQUISES</w:t>
      </w:r>
    </w:p>
    <w:p>
      <w:pPr>
        <w:numPr>
          <w:ilvl w:val="1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Capacités</w:t>
      </w:r>
    </w:p>
    <w:p>
      <w:pPr>
        <w:spacing w:after="120"/>
        <w:ind w:left="860"/>
        <w:jc w:val="both"/>
        <w:rPr>
          <w:b/>
          <w:szCs w:val="22"/>
        </w:rPr>
      </w:pPr>
      <w:r>
        <w:rPr>
          <w:b/>
          <w:szCs w:val="22"/>
        </w:rPr>
        <w:t>En assistance technique en ophtalmologie (ATO),</w:t>
      </w:r>
    </w:p>
    <w:p>
      <w:pPr>
        <w:spacing w:after="120"/>
        <w:ind w:left="851"/>
        <w:jc w:val="both"/>
        <w:rPr>
          <w:i/>
          <w:szCs w:val="22"/>
        </w:rPr>
      </w:pPr>
      <w:proofErr w:type="gramStart"/>
      <w:r>
        <w:rPr>
          <w:i/>
          <w:szCs w:val="22"/>
        </w:rPr>
        <w:t>pour</w:t>
      </w:r>
      <w:proofErr w:type="gramEnd"/>
      <w:r>
        <w:rPr>
          <w:i/>
          <w:szCs w:val="22"/>
        </w:rPr>
        <w:t xml:space="preserve"> une situation professionnelle d’orthoptie définie,</w:t>
      </w:r>
    </w:p>
    <w:p>
      <w:pPr>
        <w:numPr>
          <w:ilvl w:val="0"/>
          <w:numId w:val="2"/>
        </w:numPr>
        <w:tabs>
          <w:tab w:val="clear" w:pos="360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décrire les techniques d’examens d’explorations fonctionnelles et structurelles de l’œil et du système visuel et d’en expliciter les objectifs et les conditions de réalisation ;</w:t>
      </w:r>
    </w:p>
    <w:p>
      <w:pPr>
        <w:numPr>
          <w:ilvl w:val="0"/>
          <w:numId w:val="2"/>
        </w:numPr>
        <w:tabs>
          <w:tab w:val="clear" w:pos="360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décrire les résultats normaux.</w:t>
      </w:r>
    </w:p>
    <w:p>
      <w:pPr>
        <w:spacing w:after="120"/>
        <w:ind w:left="860"/>
        <w:jc w:val="both"/>
        <w:rPr>
          <w:b/>
          <w:szCs w:val="22"/>
        </w:rPr>
      </w:pPr>
      <w:r>
        <w:rPr>
          <w:b/>
          <w:szCs w:val="22"/>
        </w:rPr>
        <w:t>En système visuel sensori-moteur,</w:t>
      </w:r>
    </w:p>
    <w:p>
      <w:pPr>
        <w:spacing w:after="120"/>
        <w:ind w:left="851"/>
        <w:jc w:val="both"/>
        <w:rPr>
          <w:i/>
          <w:szCs w:val="22"/>
        </w:rPr>
      </w:pPr>
      <w:proofErr w:type="gramStart"/>
      <w:r>
        <w:rPr>
          <w:i/>
          <w:szCs w:val="22"/>
        </w:rPr>
        <w:t>pour</w:t>
      </w:r>
      <w:proofErr w:type="gramEnd"/>
      <w:r>
        <w:rPr>
          <w:i/>
          <w:szCs w:val="22"/>
        </w:rPr>
        <w:t xml:space="preserve"> une situation professionnelle d’orthoptie définie,</w:t>
      </w:r>
    </w:p>
    <w:p>
      <w:pPr>
        <w:spacing w:after="120"/>
        <w:ind w:left="851"/>
        <w:jc w:val="both"/>
        <w:rPr>
          <w:i/>
          <w:szCs w:val="22"/>
        </w:rPr>
      </w:pPr>
      <w:proofErr w:type="gramStart"/>
      <w:r>
        <w:rPr>
          <w:i/>
          <w:szCs w:val="22"/>
        </w:rPr>
        <w:t>en</w:t>
      </w:r>
      <w:proofErr w:type="gramEnd"/>
      <w:r>
        <w:rPr>
          <w:i/>
          <w:szCs w:val="22"/>
        </w:rPr>
        <w:t xml:space="preserve"> disposant de la documentation nécessaire (résultats d’examens cliniques, d’examens visuels, projections…)</w:t>
      </w:r>
    </w:p>
    <w:p>
      <w:pPr>
        <w:numPr>
          <w:ilvl w:val="0"/>
          <w:numId w:val="2"/>
        </w:numPr>
        <w:tabs>
          <w:tab w:val="clear" w:pos="360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différencier et classifier les mécanismes de fonctionnement de la motilité oculaire et en expliquer les différentes méthodes d’examens ;</w:t>
      </w:r>
    </w:p>
    <w:p>
      <w:pPr>
        <w:numPr>
          <w:ilvl w:val="0"/>
          <w:numId w:val="2"/>
        </w:numPr>
        <w:tabs>
          <w:tab w:val="clear" w:pos="360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définir les éléments de la vision binoculaire ;</w:t>
      </w:r>
    </w:p>
    <w:p>
      <w:pPr>
        <w:numPr>
          <w:ilvl w:val="0"/>
          <w:numId w:val="2"/>
        </w:numPr>
        <w:tabs>
          <w:tab w:val="clear" w:pos="360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exposer une stratégie d’analyse de la vision binoculaire ;</w:t>
      </w:r>
    </w:p>
    <w:p>
      <w:pPr>
        <w:numPr>
          <w:ilvl w:val="0"/>
          <w:numId w:val="2"/>
        </w:numPr>
        <w:tabs>
          <w:tab w:val="clear" w:pos="360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exposer une méthode d’évaluation du degré de vision binoculaire ;</w:t>
      </w:r>
    </w:p>
    <w:p>
      <w:pPr>
        <w:numPr>
          <w:ilvl w:val="0"/>
          <w:numId w:val="2"/>
        </w:numPr>
        <w:tabs>
          <w:tab w:val="clear" w:pos="360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identifier le type de strabisme concomitant.</w:t>
      </w:r>
    </w:p>
    <w:p>
      <w:pPr>
        <w:spacing w:after="120"/>
        <w:ind w:left="860"/>
        <w:jc w:val="both"/>
        <w:rPr>
          <w:b/>
          <w:szCs w:val="22"/>
        </w:rPr>
      </w:pPr>
      <w:r>
        <w:rPr>
          <w:b/>
          <w:szCs w:val="22"/>
        </w:rPr>
        <w:t>En réfraction et acuité visuelle chez l’enfant,</w:t>
      </w:r>
    </w:p>
    <w:p>
      <w:pPr>
        <w:spacing w:after="120"/>
        <w:ind w:left="851"/>
        <w:jc w:val="both"/>
        <w:rPr>
          <w:i/>
        </w:rPr>
      </w:pPr>
      <w:proofErr w:type="gramStart"/>
      <w:r>
        <w:rPr>
          <w:i/>
        </w:rPr>
        <w:t>à</w:t>
      </w:r>
      <w:proofErr w:type="gramEnd"/>
      <w:r>
        <w:rPr>
          <w:i/>
        </w:rPr>
        <w:t xml:space="preserve"> travers une situation professionnelle d’orthoptie pédiatrique définie,</w:t>
      </w:r>
    </w:p>
    <w:p>
      <w:pPr>
        <w:numPr>
          <w:ilvl w:val="0"/>
          <w:numId w:val="2"/>
        </w:numPr>
        <w:tabs>
          <w:tab w:val="clear" w:pos="360"/>
          <w:tab w:val="num" w:pos="709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décrire les performances visuelles de l’enfant ;</w:t>
      </w:r>
    </w:p>
    <w:p>
      <w:pPr>
        <w:numPr>
          <w:ilvl w:val="0"/>
          <w:numId w:val="2"/>
        </w:numPr>
        <w:tabs>
          <w:tab w:val="clear" w:pos="360"/>
          <w:tab w:val="num" w:pos="709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sélectionner et justifier l’examen de la réfraction objective et subjective, adapté au cas clinique ;</w:t>
      </w:r>
    </w:p>
    <w:p>
      <w:pPr>
        <w:numPr>
          <w:ilvl w:val="0"/>
          <w:numId w:val="2"/>
        </w:numPr>
        <w:tabs>
          <w:tab w:val="clear" w:pos="360"/>
          <w:tab w:val="num" w:pos="709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identifier une amétropie et/ou une acuité visuelle anormale ;</w:t>
      </w:r>
    </w:p>
    <w:p>
      <w:pPr>
        <w:numPr>
          <w:ilvl w:val="0"/>
          <w:numId w:val="2"/>
        </w:numPr>
        <w:tabs>
          <w:tab w:val="clear" w:pos="360"/>
          <w:tab w:val="num" w:pos="709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lastRenderedPageBreak/>
        <w:t>corréler la réfraction au(x) trouble(s) sensorimoteur(s) présent(s) et/ou à une pathologie ;</w:t>
      </w:r>
    </w:p>
    <w:p>
      <w:pPr>
        <w:numPr>
          <w:ilvl w:val="0"/>
          <w:numId w:val="2"/>
        </w:numPr>
        <w:tabs>
          <w:tab w:val="clear" w:pos="360"/>
          <w:tab w:val="num" w:pos="709"/>
          <w:tab w:val="num" w:pos="1134"/>
          <w:tab w:val="num" w:pos="1494"/>
        </w:tabs>
        <w:spacing w:after="120"/>
        <w:ind w:left="1134" w:hanging="283"/>
        <w:jc w:val="both"/>
        <w:rPr>
          <w:szCs w:val="22"/>
        </w:rPr>
      </w:pPr>
      <w:r>
        <w:rPr>
          <w:szCs w:val="22"/>
        </w:rPr>
        <w:t>expliquer la correction prescrite à l’enfant et d’appréhender le contrôle de cette correction.</w:t>
      </w:r>
    </w:p>
    <w:p>
      <w:pPr>
        <w:numPr>
          <w:ilvl w:val="1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Titres pouvant en tenir lieu</w:t>
      </w:r>
    </w:p>
    <w:p>
      <w:pPr>
        <w:spacing w:after="120"/>
        <w:ind w:left="860"/>
        <w:jc w:val="both"/>
        <w:rPr>
          <w:szCs w:val="22"/>
        </w:rPr>
      </w:pPr>
      <w:r>
        <w:rPr>
          <w:szCs w:val="22"/>
        </w:rPr>
        <w:t>Attestations de réussite des unités d’enseignement « Assistance technique en ophtalmologie  » - code N° 824616U34D1, « Système visuel sensori-moteur »- code N° 824615U34D1, « Réfraction et acuité visuelle chez l’enfant » - code N° 824610U34D1.</w:t>
      </w:r>
    </w:p>
    <w:p>
      <w:pPr>
        <w:spacing w:after="120"/>
        <w:jc w:val="both"/>
        <w:rPr>
          <w:szCs w:val="22"/>
        </w:rPr>
      </w:pPr>
    </w:p>
    <w:p>
      <w:pPr>
        <w:tabs>
          <w:tab w:val="left" w:pos="426"/>
        </w:tabs>
        <w:spacing w:after="120"/>
        <w:jc w:val="both"/>
        <w:rPr>
          <w:b/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>ACQUIS D’APPRENTISSAGE</w:t>
      </w:r>
    </w:p>
    <w:p>
      <w:pPr>
        <w:spacing w:after="120"/>
        <w:ind w:firstLine="426"/>
        <w:jc w:val="both"/>
        <w:rPr>
          <w:b/>
          <w:szCs w:val="22"/>
        </w:rPr>
      </w:pPr>
      <w:r>
        <w:rPr>
          <w:b/>
          <w:szCs w:val="22"/>
        </w:rPr>
        <w:t>Pour atteindre le seuil de réussite, l’étudiant sera capable :</w:t>
      </w:r>
    </w:p>
    <w:p>
      <w:pPr>
        <w:spacing w:after="120"/>
        <w:ind w:left="426"/>
        <w:jc w:val="both"/>
        <w:rPr>
          <w:i/>
          <w:szCs w:val="22"/>
        </w:rPr>
      </w:pPr>
      <w:proofErr w:type="gramStart"/>
      <w:r>
        <w:rPr>
          <w:i/>
          <w:szCs w:val="22"/>
        </w:rPr>
        <w:t>pour</w:t>
      </w:r>
      <w:proofErr w:type="gramEnd"/>
      <w:r>
        <w:rPr>
          <w:i/>
          <w:szCs w:val="22"/>
        </w:rPr>
        <w:t xml:space="preserve"> une situation professionnelle d’orthoptie définie,</w:t>
      </w:r>
    </w:p>
    <w:p>
      <w:pPr>
        <w:spacing w:after="120"/>
        <w:ind w:left="426"/>
        <w:jc w:val="both"/>
        <w:rPr>
          <w:i/>
          <w:szCs w:val="22"/>
        </w:rPr>
      </w:pPr>
      <w:proofErr w:type="gramStart"/>
      <w:r>
        <w:rPr>
          <w:i/>
          <w:szCs w:val="22"/>
        </w:rPr>
        <w:t>en</w:t>
      </w:r>
      <w:proofErr w:type="gramEnd"/>
      <w:r>
        <w:rPr>
          <w:i/>
          <w:szCs w:val="22"/>
        </w:rPr>
        <w:t xml:space="preserve"> disposant de la documentation nécessaire (résultats d’examens cliniques, d’examens visuels, projections…)</w:t>
      </w:r>
    </w:p>
    <w:p>
      <w:pPr>
        <w:pStyle w:val="Paragraphedeliste"/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décrire et de proposer le bilan orthoptique adapté au cas clinique ;</w:t>
      </w:r>
    </w:p>
    <w:p>
      <w:pPr>
        <w:numPr>
          <w:ilvl w:val="0"/>
          <w:numId w:val="23"/>
        </w:numPr>
        <w:shd w:val="clear" w:color="auto" w:fill="FFFFFF"/>
        <w:spacing w:after="120"/>
        <w:jc w:val="both"/>
        <w:rPr>
          <w:color w:val="000000"/>
          <w:szCs w:val="22"/>
        </w:rPr>
      </w:pPr>
      <w:r>
        <w:rPr>
          <w:color w:val="000000"/>
          <w:szCs w:val="22"/>
        </w:rPr>
        <w:t>de sélectionner, de justifier et de réaliser le ou les examen(s) dans le cadre d’une exploration fonctionnelle et structurelle de l’œil et du système visuel ;</w:t>
      </w:r>
    </w:p>
    <w:p>
      <w:pPr>
        <w:numPr>
          <w:ilvl w:val="0"/>
          <w:numId w:val="23"/>
        </w:numPr>
        <w:shd w:val="clear" w:color="auto" w:fill="FFFFFF"/>
        <w:spacing w:after="120"/>
        <w:jc w:val="both"/>
        <w:rPr>
          <w:color w:val="000000"/>
          <w:szCs w:val="22"/>
        </w:rPr>
      </w:pPr>
      <w:r>
        <w:rPr>
          <w:color w:val="000000"/>
          <w:szCs w:val="22"/>
        </w:rPr>
        <w:t>de transmettre le résultat à un professionnel de la santé. </w:t>
      </w:r>
    </w:p>
    <w:p>
      <w:pPr>
        <w:spacing w:after="120"/>
        <w:ind w:firstLine="426"/>
        <w:jc w:val="both"/>
        <w:rPr>
          <w:b/>
          <w:szCs w:val="22"/>
        </w:rPr>
      </w:pPr>
      <w:r>
        <w:rPr>
          <w:b/>
          <w:szCs w:val="22"/>
        </w:rPr>
        <w:t>Pour la détermination du degré de maîtrise, il sera tenu compte des critères suivants :</w:t>
      </w:r>
    </w:p>
    <w:p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ind w:left="709" w:hanging="283"/>
        <w:jc w:val="both"/>
        <w:rPr>
          <w:szCs w:val="22"/>
        </w:rPr>
      </w:pPr>
      <w:r>
        <w:rPr>
          <w:szCs w:val="22"/>
        </w:rPr>
        <w:t>le niveau de précision : la clarté, la concision, la rigueur au niveau de la terminologie, des concepts et des techniques/principes/modèles ;</w:t>
      </w:r>
    </w:p>
    <w:p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ind w:left="709" w:hanging="283"/>
        <w:jc w:val="both"/>
        <w:rPr>
          <w:szCs w:val="22"/>
        </w:rPr>
      </w:pPr>
      <w:r>
        <w:rPr>
          <w:szCs w:val="22"/>
        </w:rPr>
        <w:t>le niveau de cohérence : la capacité à établir une majorité de liens logiques entre les étapes de la démarche pour former un ensemble organisé ;</w:t>
      </w:r>
    </w:p>
    <w:p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ind w:left="709" w:hanging="283"/>
        <w:jc w:val="both"/>
        <w:rPr>
          <w:szCs w:val="22"/>
        </w:rPr>
      </w:pPr>
      <w:r>
        <w:rPr>
          <w:szCs w:val="22"/>
        </w:rPr>
        <w:t>le niveau d’intégration : la capacité à s’approprier des notions, concepts, techniques et démarches en les intégrant dans son analyse, son argumentation, sa pratique ou la recherche de solutions.</w:t>
      </w:r>
    </w:p>
    <w:p>
      <w:pPr>
        <w:spacing w:after="120"/>
        <w:ind w:left="426" w:hanging="426"/>
        <w:jc w:val="both"/>
        <w:rPr>
          <w:b/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>PROGRAMME</w:t>
      </w:r>
    </w:p>
    <w:p>
      <w:pPr>
        <w:spacing w:after="120"/>
        <w:ind w:left="709" w:hanging="283"/>
        <w:jc w:val="both"/>
        <w:rPr>
          <w:szCs w:val="22"/>
        </w:rPr>
      </w:pPr>
      <w:r>
        <w:rPr>
          <w:szCs w:val="22"/>
        </w:rPr>
        <w:t>L'étudiant sera capable :</w:t>
      </w:r>
    </w:p>
    <w:p>
      <w:pPr>
        <w:spacing w:after="120"/>
        <w:ind w:left="426"/>
        <w:jc w:val="both"/>
        <w:rPr>
          <w:i/>
          <w:szCs w:val="22"/>
        </w:rPr>
      </w:pPr>
      <w:proofErr w:type="gramStart"/>
      <w:r>
        <w:rPr>
          <w:i/>
          <w:szCs w:val="22"/>
        </w:rPr>
        <w:t>pour</w:t>
      </w:r>
      <w:proofErr w:type="gramEnd"/>
      <w:r>
        <w:rPr>
          <w:i/>
          <w:szCs w:val="22"/>
        </w:rPr>
        <w:t xml:space="preserve"> des situations pratiques professionnelles d’orthoptie définies,</w:t>
      </w:r>
    </w:p>
    <w:p>
      <w:pPr>
        <w:spacing w:after="120"/>
        <w:ind w:left="426"/>
        <w:jc w:val="both"/>
        <w:rPr>
          <w:i/>
          <w:szCs w:val="22"/>
        </w:rPr>
      </w:pPr>
      <w:proofErr w:type="gramStart"/>
      <w:r>
        <w:rPr>
          <w:i/>
          <w:szCs w:val="22"/>
        </w:rPr>
        <w:t>en</w:t>
      </w:r>
      <w:proofErr w:type="gramEnd"/>
      <w:r>
        <w:rPr>
          <w:i/>
          <w:szCs w:val="22"/>
        </w:rPr>
        <w:t xml:space="preserve"> disposant de la documentation nécessaire (résultats d’examens cliniques, d’examens visuels, projections…),</w:t>
      </w:r>
    </w:p>
    <w:p>
      <w:pPr>
        <w:spacing w:after="120"/>
        <w:ind w:left="426"/>
        <w:jc w:val="both"/>
        <w:rPr>
          <w:i/>
          <w:szCs w:val="22"/>
        </w:rPr>
      </w:pPr>
      <w:proofErr w:type="gramStart"/>
      <w:r>
        <w:rPr>
          <w:i/>
          <w:szCs w:val="22"/>
        </w:rPr>
        <w:t>dans</w:t>
      </w:r>
      <w:proofErr w:type="gramEnd"/>
      <w:r>
        <w:rPr>
          <w:i/>
          <w:szCs w:val="22"/>
        </w:rPr>
        <w:t xml:space="preserve"> le respect des conditions d’hygiène, de sécurité et d’asepsie,</w:t>
      </w:r>
    </w:p>
    <w:p>
      <w:pPr>
        <w:spacing w:after="120"/>
        <w:ind w:left="426"/>
        <w:jc w:val="both"/>
        <w:rPr>
          <w:i/>
          <w:szCs w:val="22"/>
        </w:rPr>
      </w:pPr>
      <w:proofErr w:type="gramStart"/>
      <w:r>
        <w:rPr>
          <w:i/>
          <w:szCs w:val="22"/>
        </w:rPr>
        <w:t>dans</w:t>
      </w:r>
      <w:proofErr w:type="gramEnd"/>
      <w:r>
        <w:rPr>
          <w:i/>
          <w:szCs w:val="22"/>
        </w:rPr>
        <w:t xml:space="preserve"> le respect des conditions précises de réalisation de ces examens (installation du patient, facteurs entrant en jeu pour une bonne réalisation …)</w:t>
      </w:r>
    </w:p>
    <w:p>
      <w:pPr>
        <w:tabs>
          <w:tab w:val="left" w:pos="851"/>
        </w:tabs>
        <w:spacing w:after="120"/>
        <w:ind w:left="709" w:hanging="283"/>
        <w:jc w:val="both"/>
        <w:rPr>
          <w:b/>
          <w:szCs w:val="22"/>
        </w:rPr>
      </w:pPr>
      <w:r>
        <w:rPr>
          <w:b/>
          <w:szCs w:val="22"/>
        </w:rPr>
        <w:t>4.1.</w:t>
      </w:r>
      <w:r>
        <w:rPr>
          <w:b/>
          <w:szCs w:val="22"/>
        </w:rPr>
        <w:tab/>
        <w:t>Laboratoire : Méthode d’examen orthoptique du strabisme et de l’amblyopie</w:t>
      </w:r>
    </w:p>
    <w:p>
      <w:pPr>
        <w:pStyle w:val="Paragraphedeliste"/>
        <w:numPr>
          <w:ilvl w:val="0"/>
          <w:numId w:val="11"/>
        </w:numPr>
        <w:spacing w:after="120"/>
        <w:ind w:left="1276" w:right="5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réaliser le bilan sensoriel : 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d’exposer, de sélectionner et de justifier les différentes méthodes d’exploration de la fonction monoculaire,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d’expliquer les spécificités des tests de correspondance rétinienne et de vision stéréoscopique lors de l’exploration de la vision binoculaire ;</w:t>
      </w:r>
    </w:p>
    <w:p>
      <w:pPr>
        <w:pStyle w:val="Paragraphedeliste"/>
        <w:numPr>
          <w:ilvl w:val="0"/>
          <w:numId w:val="11"/>
        </w:numPr>
        <w:spacing w:after="120"/>
        <w:ind w:left="1276" w:right="57" w:hanging="425"/>
        <w:jc w:val="both"/>
        <w:rPr>
          <w:sz w:val="22"/>
          <w:szCs w:val="22"/>
        </w:rPr>
      </w:pPr>
      <w:r>
        <w:rPr>
          <w:sz w:val="22"/>
          <w:szCs w:val="22"/>
        </w:rPr>
        <w:t>de réaliser le bilan moteur :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définir des éléments indispensables à la compréhension du bilan moteur (fusion motrice, déviations strabiques, indications des prismes et différents angles du strabisme), 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d’exposer, de sélectionner et de justifier les différentes méthodes de recherche et de mesure de l’angle de déviation strabique,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d’expliquer et de justifier le test de la motilité oculaire, les méthodes de mise en évidence d’une déviation verticale dissociée, les spécificités des tests de </w:t>
      </w:r>
      <w:proofErr w:type="spellStart"/>
      <w:r>
        <w:rPr>
          <w:sz w:val="22"/>
          <w:szCs w:val="22"/>
        </w:rPr>
        <w:t>coordimétrie</w:t>
      </w:r>
      <w:proofErr w:type="spellEnd"/>
      <w:r>
        <w:rPr>
          <w:sz w:val="22"/>
          <w:szCs w:val="22"/>
        </w:rPr>
        <w:t xml:space="preserve">, de mesure de la torsion, de la manœuvre de </w:t>
      </w:r>
      <w:proofErr w:type="spellStart"/>
      <w:r>
        <w:rPr>
          <w:sz w:val="22"/>
          <w:szCs w:val="22"/>
        </w:rPr>
        <w:t>Bielschowsky</w:t>
      </w:r>
      <w:proofErr w:type="spellEnd"/>
      <w:r>
        <w:rPr>
          <w:sz w:val="22"/>
          <w:szCs w:val="22"/>
        </w:rPr>
        <w:t xml:space="preserve"> et les méthodes de mesure du rapport convergence accommodative / accommodation ;</w:t>
      </w:r>
    </w:p>
    <w:p>
      <w:pPr>
        <w:pStyle w:val="Paragraphedeliste"/>
        <w:numPr>
          <w:ilvl w:val="0"/>
          <w:numId w:val="11"/>
        </w:numPr>
        <w:spacing w:after="120"/>
        <w:ind w:left="1276" w:right="57" w:hanging="425"/>
        <w:jc w:val="both"/>
        <w:rPr>
          <w:sz w:val="22"/>
          <w:szCs w:val="22"/>
        </w:rPr>
      </w:pPr>
      <w:r>
        <w:rPr>
          <w:sz w:val="22"/>
          <w:szCs w:val="22"/>
        </w:rPr>
        <w:t>de réaliser le bilan orthoptique :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d’interroger le patient et/ou les accompagnants,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de reprendre les antécédents personnels et familiaux, les éventuels traitements,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de mener une anamnèse en tenant compte du dossier médical,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de mener une étude orthoptique selon les trois axes : sensoriel, moteur et fonctionnel,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d’observer le patient et la famille afin de repérer des signes d’une éventuelle pathologie,</w:t>
      </w:r>
    </w:p>
    <w:p>
      <w:pPr>
        <w:pStyle w:val="Paragraphedeliste"/>
        <w:numPr>
          <w:ilvl w:val="0"/>
          <w:numId w:val="27"/>
        </w:numPr>
        <w:spacing w:after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compléter en cas de nécessité le bilan orthoptique par des examens </w:t>
      </w:r>
      <w:proofErr w:type="spellStart"/>
      <w:r>
        <w:rPr>
          <w:sz w:val="22"/>
          <w:szCs w:val="22"/>
        </w:rPr>
        <w:t>diagonoctics</w:t>
      </w:r>
      <w:proofErr w:type="spellEnd"/>
      <w:r>
        <w:rPr>
          <w:sz w:val="22"/>
          <w:szCs w:val="22"/>
        </w:rPr>
        <w:t xml:space="preserve"> complémentaires tels que le test de </w:t>
      </w:r>
      <w:proofErr w:type="spellStart"/>
      <w:r>
        <w:rPr>
          <w:sz w:val="22"/>
          <w:szCs w:val="22"/>
        </w:rPr>
        <w:t>Brückner</w:t>
      </w:r>
      <w:proofErr w:type="spellEnd"/>
      <w:r>
        <w:rPr>
          <w:sz w:val="22"/>
          <w:szCs w:val="22"/>
        </w:rPr>
        <w:t xml:space="preserve">, l’étude du réflexe photomoteur et du déficit pupillaire afférent, la </w:t>
      </w:r>
      <w:proofErr w:type="spellStart"/>
      <w:r>
        <w:rPr>
          <w:sz w:val="22"/>
          <w:szCs w:val="22"/>
        </w:rPr>
        <w:t>pupillométrie</w:t>
      </w:r>
      <w:proofErr w:type="spellEnd"/>
      <w:r>
        <w:rPr>
          <w:sz w:val="22"/>
          <w:szCs w:val="22"/>
        </w:rPr>
        <w:t>, l’</w:t>
      </w:r>
      <w:proofErr w:type="spellStart"/>
      <w:r>
        <w:rPr>
          <w:sz w:val="22"/>
          <w:szCs w:val="22"/>
        </w:rPr>
        <w:t>exophtalmomètrie</w:t>
      </w:r>
      <w:proofErr w:type="spellEnd"/>
      <w:r>
        <w:rPr>
          <w:sz w:val="22"/>
          <w:szCs w:val="22"/>
        </w:rPr>
        <w:t>, l’étude du ptosis… ;</w:t>
      </w:r>
    </w:p>
    <w:p>
      <w:pPr>
        <w:pStyle w:val="Paragraphedeliste"/>
        <w:numPr>
          <w:ilvl w:val="0"/>
          <w:numId w:val="11"/>
        </w:numPr>
        <w:spacing w:after="120"/>
        <w:ind w:left="1276" w:right="57" w:hanging="425"/>
        <w:jc w:val="both"/>
        <w:rPr>
          <w:sz w:val="22"/>
          <w:szCs w:val="22"/>
        </w:rPr>
      </w:pPr>
      <w:r>
        <w:rPr>
          <w:sz w:val="22"/>
          <w:szCs w:val="22"/>
        </w:rPr>
        <w:t>d’élaborer une communication des résultats et de rédiger les écrits professionnels formalisés en veillant au respect des normes en vigueur à destination des spécialistes de la santé.</w:t>
      </w:r>
    </w:p>
    <w:p>
      <w:pPr>
        <w:tabs>
          <w:tab w:val="left" w:pos="851"/>
        </w:tabs>
        <w:spacing w:after="120"/>
        <w:ind w:left="709" w:hanging="283"/>
        <w:jc w:val="both"/>
        <w:rPr>
          <w:b/>
          <w:szCs w:val="22"/>
        </w:rPr>
      </w:pPr>
      <w:r>
        <w:rPr>
          <w:b/>
          <w:szCs w:val="22"/>
        </w:rPr>
        <w:t>4.2.</w:t>
      </w:r>
      <w:r>
        <w:rPr>
          <w:b/>
          <w:szCs w:val="22"/>
        </w:rPr>
        <w:tab/>
        <w:t>Laboratoire : Assistance en ophtalmologie</w:t>
      </w:r>
    </w:p>
    <w:p>
      <w:pPr>
        <w:pStyle w:val="Paragraphedeliste"/>
        <w:numPr>
          <w:ilvl w:val="0"/>
          <w:numId w:val="11"/>
        </w:numPr>
        <w:spacing w:after="120"/>
        <w:ind w:left="1276" w:right="57" w:hanging="425"/>
        <w:jc w:val="both"/>
        <w:rPr>
          <w:sz w:val="22"/>
          <w:szCs w:val="22"/>
        </w:rPr>
      </w:pPr>
      <w:r>
        <w:rPr>
          <w:sz w:val="22"/>
          <w:szCs w:val="22"/>
        </w:rPr>
        <w:t>de sélectionner, de justifier et de réaliser le ou les examen(s) dans le cadre d’une exploration fonctionnelle ou structurelle de l’œil et du système visuel, adapté(s) à la situation clinique ;</w:t>
      </w:r>
    </w:p>
    <w:p>
      <w:pPr>
        <w:pStyle w:val="Paragraphedeliste"/>
        <w:numPr>
          <w:ilvl w:val="0"/>
          <w:numId w:val="11"/>
        </w:numPr>
        <w:spacing w:after="120"/>
        <w:ind w:left="1276" w:right="57" w:hanging="425"/>
        <w:jc w:val="both"/>
        <w:rPr>
          <w:sz w:val="22"/>
          <w:szCs w:val="22"/>
        </w:rPr>
      </w:pPr>
      <w:r>
        <w:rPr>
          <w:sz w:val="22"/>
          <w:szCs w:val="22"/>
        </w:rPr>
        <w:t>de réaliser le recueil des informations utiles au bon déroulement de l'examen ;</w:t>
      </w:r>
    </w:p>
    <w:p>
      <w:pPr>
        <w:pStyle w:val="Paragraphedeliste"/>
        <w:numPr>
          <w:ilvl w:val="0"/>
          <w:numId w:val="11"/>
        </w:numPr>
        <w:spacing w:after="120"/>
        <w:ind w:left="1276" w:right="57" w:hanging="425"/>
        <w:jc w:val="both"/>
        <w:rPr>
          <w:sz w:val="22"/>
          <w:szCs w:val="22"/>
        </w:rPr>
      </w:pPr>
      <w:r>
        <w:rPr>
          <w:sz w:val="22"/>
          <w:szCs w:val="22"/>
        </w:rPr>
        <w:t>d’administrer si besoin le collyre nécessaire à la réalisation de l’examen et en respect des indications et attentes de l’ophtalmologiste ;</w:t>
      </w:r>
    </w:p>
    <w:p>
      <w:pPr>
        <w:pStyle w:val="Paragraphedeliste"/>
        <w:numPr>
          <w:ilvl w:val="0"/>
          <w:numId w:val="11"/>
        </w:numPr>
        <w:spacing w:after="120"/>
        <w:ind w:left="1276" w:right="57" w:hanging="425"/>
        <w:jc w:val="both"/>
        <w:rPr>
          <w:sz w:val="22"/>
          <w:szCs w:val="22"/>
        </w:rPr>
      </w:pPr>
      <w:r>
        <w:rPr>
          <w:sz w:val="22"/>
          <w:szCs w:val="22"/>
        </w:rPr>
        <w:t>d’élaborer une communication des résultats à destination d’un professionnel de la santé.</w:t>
      </w:r>
    </w:p>
    <w:p>
      <w:pPr>
        <w:spacing w:after="120"/>
        <w:jc w:val="both"/>
        <w:rPr>
          <w:szCs w:val="22"/>
        </w:rPr>
      </w:pPr>
    </w:p>
    <w:p>
      <w:pPr>
        <w:spacing w:after="120"/>
        <w:ind w:left="426" w:hanging="426"/>
        <w:jc w:val="both"/>
        <w:rPr>
          <w:b/>
          <w:szCs w:val="22"/>
        </w:rPr>
      </w:pPr>
      <w:r>
        <w:rPr>
          <w:b/>
          <w:szCs w:val="22"/>
        </w:rPr>
        <w:t>5.</w:t>
      </w:r>
      <w:r>
        <w:rPr>
          <w:b/>
          <w:szCs w:val="22"/>
        </w:rPr>
        <w:tab/>
      </w:r>
      <w:r>
        <w:rPr>
          <w:b/>
          <w:caps/>
          <w:szCs w:val="22"/>
        </w:rPr>
        <w:t>Constitution des groupes ou regroupement</w:t>
      </w:r>
    </w:p>
    <w:p>
      <w:pPr>
        <w:spacing w:after="120"/>
        <w:ind w:left="567" w:hanging="141"/>
        <w:jc w:val="both"/>
        <w:rPr>
          <w:szCs w:val="22"/>
        </w:rPr>
      </w:pPr>
      <w:r>
        <w:rPr>
          <w:szCs w:val="22"/>
        </w:rPr>
        <w:t>Pour les activités d’enseignement de « Laboratoire », il est recommandé de ne pas dépasser 12 étudiants par groupe.</w:t>
      </w:r>
    </w:p>
    <w:p>
      <w:pPr>
        <w:spacing w:after="120"/>
        <w:ind w:left="567" w:hanging="141"/>
        <w:jc w:val="both"/>
        <w:rPr>
          <w:szCs w:val="22"/>
        </w:rPr>
      </w:pPr>
    </w:p>
    <w:p>
      <w:pPr>
        <w:pStyle w:val="Notedebasdepage"/>
        <w:spacing w:after="120"/>
        <w:jc w:val="both"/>
        <w:rPr>
          <w:b/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  <w:t>CHARGE(S) DE COURS</w:t>
      </w:r>
    </w:p>
    <w:p>
      <w:pPr>
        <w:spacing w:after="120"/>
        <w:ind w:left="426"/>
        <w:jc w:val="both"/>
        <w:rPr>
          <w:szCs w:val="22"/>
        </w:rPr>
      </w:pPr>
      <w:r>
        <w:rPr>
          <w:szCs w:val="22"/>
        </w:rPr>
        <w:t>Le chargé de cours sera un enseignant ou un expert.</w:t>
      </w:r>
    </w:p>
    <w:p>
      <w:pPr>
        <w:spacing w:after="120"/>
        <w:ind w:left="426"/>
        <w:jc w:val="both"/>
        <w:rPr>
          <w:szCs w:val="22"/>
        </w:rPr>
      </w:pPr>
      <w:r>
        <w:rPr>
          <w:szCs w:val="22"/>
        </w:rPr>
        <w:t>L’expert devra justifier de compétences particulières issues d’une expérience professionnelle actualisée en relation avec la charge de cours qui lui est attribuée.</w:t>
      </w:r>
    </w:p>
    <w:p>
      <w:pPr>
        <w:spacing w:after="120"/>
        <w:ind w:left="567" w:hanging="141"/>
        <w:jc w:val="both"/>
        <w:rPr>
          <w:szCs w:val="22"/>
        </w:rPr>
      </w:pPr>
    </w:p>
    <w:p>
      <w:pPr>
        <w:pStyle w:val="Notedebasdepage"/>
        <w:tabs>
          <w:tab w:val="left" w:pos="284"/>
        </w:tabs>
        <w:spacing w:after="120"/>
        <w:jc w:val="both"/>
        <w:rPr>
          <w:b/>
          <w:szCs w:val="22"/>
        </w:rPr>
      </w:pPr>
      <w:r>
        <w:rPr>
          <w:b/>
          <w:szCs w:val="22"/>
        </w:rPr>
        <w:t>7.</w:t>
      </w:r>
      <w:r>
        <w:rPr>
          <w:b/>
          <w:szCs w:val="22"/>
        </w:rPr>
        <w:tab/>
        <w:t>HORAIRE MINIMUM DE L’UNITE D’ENSEIGNEMENT</w:t>
      </w:r>
    </w:p>
    <w:p>
      <w:pPr>
        <w:ind w:left="426"/>
        <w:rPr>
          <w:b/>
        </w:rPr>
      </w:pPr>
    </w:p>
    <w:tbl>
      <w:tblPr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59"/>
        <w:gridCol w:w="992"/>
        <w:gridCol w:w="1843"/>
      </w:tblGrid>
      <w:tr>
        <w:tc>
          <w:tcPr>
            <w:tcW w:w="4536" w:type="dxa"/>
          </w:tcPr>
          <w:p>
            <w:pPr>
              <w:ind w:left="71"/>
              <w:rPr>
                <w:szCs w:val="22"/>
              </w:rPr>
            </w:pPr>
          </w:p>
          <w:p>
            <w:pPr>
              <w:pStyle w:val="Titre8"/>
              <w:ind w:hanging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Dénomination des cours</w:t>
            </w:r>
          </w:p>
          <w:p>
            <w:pPr>
              <w:ind w:left="71"/>
              <w:rPr>
                <w:szCs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2"/>
              </w:rPr>
            </w:pPr>
          </w:p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Classement des cours</w:t>
            </w:r>
          </w:p>
        </w:tc>
        <w:tc>
          <w:tcPr>
            <w:tcW w:w="992" w:type="dxa"/>
          </w:tcPr>
          <w:p>
            <w:pPr>
              <w:rPr>
                <w:b/>
                <w:szCs w:val="22"/>
              </w:rPr>
            </w:pPr>
          </w:p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Code U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Cs w:val="22"/>
              </w:rPr>
            </w:pPr>
          </w:p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Nombre de périodes </w:t>
            </w:r>
          </w:p>
        </w:tc>
      </w:tr>
      <w:tr>
        <w:tc>
          <w:tcPr>
            <w:tcW w:w="4536" w:type="dxa"/>
            <w:tcBorders>
              <w:bottom w:val="single" w:sz="4" w:space="0" w:color="auto"/>
            </w:tcBorders>
          </w:tcPr>
          <w:p>
            <w:pPr>
              <w:rPr>
                <w:szCs w:val="22"/>
              </w:rPr>
            </w:pPr>
            <w:r>
              <w:t xml:space="preserve">Laboratoire : </w:t>
            </w:r>
            <w:r>
              <w:rPr>
                <w:szCs w:val="22"/>
              </w:rPr>
              <w:t>Méthode d’examen orthoptique du strabisme et de l’amblyopie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pStyle w:val="Notedebasdepage"/>
              <w:tabs>
                <w:tab w:val="right" w:pos="968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</w:tr>
      <w:tr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>
            <w:pPr>
              <w:rPr>
                <w:szCs w:val="22"/>
              </w:rPr>
            </w:pPr>
            <w:r>
              <w:t>Laboratoire : assistance en ophtalmologie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>
            <w:pPr>
              <w:pStyle w:val="Notedebasdepage"/>
              <w:tabs>
                <w:tab w:val="right" w:pos="968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>
        <w:trPr>
          <w:cantSplit/>
        </w:trPr>
        <w:tc>
          <w:tcPr>
            <w:tcW w:w="6095" w:type="dxa"/>
            <w:gridSpan w:val="2"/>
            <w:tcBorders>
              <w:right w:val="nil"/>
            </w:tcBorders>
          </w:tcPr>
          <w:p>
            <w:pPr>
              <w:pStyle w:val="Notedebasdepage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7.2. Part d’autonomie</w:t>
            </w:r>
          </w:p>
        </w:tc>
        <w:tc>
          <w:tcPr>
            <w:tcW w:w="992" w:type="dxa"/>
            <w:tcBorders>
              <w:right w:val="nil"/>
            </w:tcBorders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</w:t>
            </w:r>
          </w:p>
        </w:tc>
        <w:tc>
          <w:tcPr>
            <w:tcW w:w="1843" w:type="dxa"/>
          </w:tcPr>
          <w:p>
            <w:pPr>
              <w:pStyle w:val="Texte"/>
              <w:tabs>
                <w:tab w:val="right" w:pos="968"/>
              </w:tabs>
              <w:jc w:val="center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16</w:t>
            </w:r>
          </w:p>
        </w:tc>
      </w:tr>
      <w:tr>
        <w:trPr>
          <w:cantSplit/>
        </w:trPr>
        <w:tc>
          <w:tcPr>
            <w:tcW w:w="6095" w:type="dxa"/>
            <w:gridSpan w:val="2"/>
            <w:tcBorders>
              <w:right w:val="nil"/>
            </w:tcBorders>
          </w:tcPr>
          <w:p>
            <w:pPr>
              <w:pStyle w:val="Notedebasdepage"/>
              <w:rPr>
                <w:b/>
                <w:szCs w:val="22"/>
              </w:rPr>
            </w:pPr>
            <w:r>
              <w:rPr>
                <w:b/>
                <w:szCs w:val="22"/>
              </w:rPr>
              <w:t>Total des périodes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</w:tcPr>
          <w:p>
            <w:pPr>
              <w:pStyle w:val="Texte"/>
              <w:tabs>
                <w:tab w:val="right" w:pos="968"/>
              </w:tabs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80</w:t>
            </w:r>
          </w:p>
        </w:tc>
      </w:tr>
    </w:tbl>
    <w:p/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275" w:bottom="1418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Harrington"/>
    <w:panose1 w:val="04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002060"/>
        <w:sz w:val="20"/>
      </w:rPr>
    </w:pPr>
    <w:r>
      <w:rPr>
        <w:color w:val="002060"/>
        <w:sz w:val="20"/>
        <w:lang w:val="fr-BE"/>
      </w:rPr>
      <w:t>Système visuel : méthodes d’examens</w:t>
    </w:r>
    <w:r>
      <w:rPr>
        <w:color w:val="002060"/>
        <w:sz w:val="20"/>
        <w:lang w:val="fr-BE"/>
      </w:rPr>
      <w:tab/>
    </w:r>
    <w:r>
      <w:rPr>
        <w:color w:val="002060"/>
        <w:sz w:val="20"/>
        <w:lang w:val="fr-BE"/>
      </w:rPr>
      <w:tab/>
    </w:r>
    <w:r>
      <w:rPr>
        <w:color w:val="002060"/>
        <w:sz w:val="20"/>
      </w:rPr>
      <w:t xml:space="preserve">Page </w:t>
    </w:r>
    <w:r>
      <w:rPr>
        <w:bCs/>
        <w:color w:val="002060"/>
        <w:sz w:val="20"/>
      </w:rPr>
      <w:fldChar w:fldCharType="begin"/>
    </w:r>
    <w:r>
      <w:rPr>
        <w:bCs/>
        <w:color w:val="002060"/>
        <w:sz w:val="20"/>
      </w:rPr>
      <w:instrText>PAGE</w:instrText>
    </w:r>
    <w:r>
      <w:rPr>
        <w:bCs/>
        <w:color w:val="002060"/>
        <w:sz w:val="20"/>
      </w:rPr>
      <w:fldChar w:fldCharType="separate"/>
    </w:r>
    <w:r>
      <w:rPr>
        <w:bCs/>
        <w:noProof/>
        <w:color w:val="002060"/>
        <w:sz w:val="20"/>
      </w:rPr>
      <w:t>5</w:t>
    </w:r>
    <w:r>
      <w:rPr>
        <w:color w:val="002060"/>
        <w:sz w:val="20"/>
      </w:rPr>
      <w:fldChar w:fldCharType="end"/>
    </w:r>
    <w:r>
      <w:rPr>
        <w:color w:val="002060"/>
        <w:sz w:val="20"/>
      </w:rPr>
      <w:t xml:space="preserve"> sur </w:t>
    </w:r>
    <w:r>
      <w:rPr>
        <w:bCs/>
        <w:color w:val="002060"/>
        <w:sz w:val="20"/>
      </w:rPr>
      <w:fldChar w:fldCharType="begin"/>
    </w:r>
    <w:r>
      <w:rPr>
        <w:bCs/>
        <w:color w:val="002060"/>
        <w:sz w:val="20"/>
      </w:rPr>
      <w:instrText>NUMPAGES</w:instrText>
    </w:r>
    <w:r>
      <w:rPr>
        <w:bCs/>
        <w:color w:val="002060"/>
        <w:sz w:val="20"/>
      </w:rPr>
      <w:fldChar w:fldCharType="separate"/>
    </w:r>
    <w:r>
      <w:rPr>
        <w:bCs/>
        <w:noProof/>
        <w:color w:val="002060"/>
        <w:sz w:val="20"/>
      </w:rPr>
      <w:t>5</w:t>
    </w:r>
    <w:r>
      <w:rPr>
        <w:color w:val="00206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742"/>
    <w:multiLevelType w:val="hybridMultilevel"/>
    <w:tmpl w:val="FAF6732A"/>
    <w:lvl w:ilvl="0" w:tplc="9886B7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7126"/>
    <w:multiLevelType w:val="hybridMultilevel"/>
    <w:tmpl w:val="0C8C91B2"/>
    <w:lvl w:ilvl="0" w:tplc="92B80C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08"/>
    <w:multiLevelType w:val="hybridMultilevel"/>
    <w:tmpl w:val="3176D284"/>
    <w:lvl w:ilvl="0" w:tplc="92B80C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3159"/>
    <w:multiLevelType w:val="multilevel"/>
    <w:tmpl w:val="E5E8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B1C5A"/>
    <w:multiLevelType w:val="hybridMultilevel"/>
    <w:tmpl w:val="B34E3D76"/>
    <w:lvl w:ilvl="0" w:tplc="FAB450A2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C745449"/>
    <w:multiLevelType w:val="singleLevel"/>
    <w:tmpl w:val="E6DA00DC"/>
    <w:lvl w:ilvl="0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sz w:val="18"/>
      </w:rPr>
    </w:lvl>
  </w:abstractNum>
  <w:abstractNum w:abstractNumId="6" w15:restartNumberingAfterBreak="0">
    <w:nsid w:val="1DE16EE0"/>
    <w:multiLevelType w:val="hybridMultilevel"/>
    <w:tmpl w:val="3EB6257E"/>
    <w:lvl w:ilvl="0" w:tplc="FAB450A2">
      <w:start w:val="4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9C6EC9"/>
    <w:multiLevelType w:val="hybridMultilevel"/>
    <w:tmpl w:val="A36AB2A6"/>
    <w:lvl w:ilvl="0" w:tplc="FAB450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A2E46"/>
    <w:multiLevelType w:val="hybridMultilevel"/>
    <w:tmpl w:val="EE12DC04"/>
    <w:lvl w:ilvl="0" w:tplc="92B80C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51DB1"/>
    <w:multiLevelType w:val="multilevel"/>
    <w:tmpl w:val="6D68A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0A4392F"/>
    <w:multiLevelType w:val="multilevel"/>
    <w:tmpl w:val="1A2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7573C"/>
    <w:multiLevelType w:val="hybridMultilevel"/>
    <w:tmpl w:val="D70A5BE2"/>
    <w:lvl w:ilvl="0" w:tplc="92B80C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D0B01"/>
    <w:multiLevelType w:val="hybridMultilevel"/>
    <w:tmpl w:val="C2D4EB1E"/>
    <w:lvl w:ilvl="0" w:tplc="B91851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D42E7"/>
    <w:multiLevelType w:val="hybridMultilevel"/>
    <w:tmpl w:val="6B8EA61A"/>
    <w:lvl w:ilvl="0" w:tplc="836C51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703D2"/>
    <w:multiLevelType w:val="singleLevel"/>
    <w:tmpl w:val="92B80C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E694E30"/>
    <w:multiLevelType w:val="hybridMultilevel"/>
    <w:tmpl w:val="B5D08E48"/>
    <w:lvl w:ilvl="0" w:tplc="EBACBA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trike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92C59"/>
    <w:multiLevelType w:val="singleLevel"/>
    <w:tmpl w:val="92B80C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7" w15:restartNumberingAfterBreak="0">
    <w:nsid w:val="5B6218C1"/>
    <w:multiLevelType w:val="multilevel"/>
    <w:tmpl w:val="B884588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8" w15:restartNumberingAfterBreak="0">
    <w:nsid w:val="5D3E56CC"/>
    <w:multiLevelType w:val="hybridMultilevel"/>
    <w:tmpl w:val="83EA4572"/>
    <w:lvl w:ilvl="0" w:tplc="1F067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76793"/>
    <w:multiLevelType w:val="hybridMultilevel"/>
    <w:tmpl w:val="95F8F4D0"/>
    <w:lvl w:ilvl="0" w:tplc="92B80C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C18A6"/>
    <w:multiLevelType w:val="hybridMultilevel"/>
    <w:tmpl w:val="A3E87DCC"/>
    <w:lvl w:ilvl="0" w:tplc="92B80C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5531"/>
    <w:multiLevelType w:val="hybridMultilevel"/>
    <w:tmpl w:val="B5C00F22"/>
    <w:lvl w:ilvl="0" w:tplc="EDE05F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D7118"/>
    <w:multiLevelType w:val="hybridMultilevel"/>
    <w:tmpl w:val="7D36E770"/>
    <w:lvl w:ilvl="0" w:tplc="92B80C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F2AC8"/>
    <w:multiLevelType w:val="hybridMultilevel"/>
    <w:tmpl w:val="6A9C6130"/>
    <w:lvl w:ilvl="0" w:tplc="F3A83802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226F89"/>
    <w:multiLevelType w:val="hybridMultilevel"/>
    <w:tmpl w:val="33189F76"/>
    <w:lvl w:ilvl="0" w:tplc="478C3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130003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25" w15:restartNumberingAfterBreak="0">
    <w:nsid w:val="7653118C"/>
    <w:multiLevelType w:val="singleLevel"/>
    <w:tmpl w:val="92B80C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6" w15:restartNumberingAfterBreak="0">
    <w:nsid w:val="78D42727"/>
    <w:multiLevelType w:val="hybridMultilevel"/>
    <w:tmpl w:val="5E30ABA4"/>
    <w:lvl w:ilvl="0" w:tplc="66B800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258D5"/>
    <w:multiLevelType w:val="hybridMultilevel"/>
    <w:tmpl w:val="66C626E8"/>
    <w:lvl w:ilvl="0" w:tplc="FAB450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87DD6"/>
    <w:multiLevelType w:val="hybridMultilevel"/>
    <w:tmpl w:val="EA404D38"/>
    <w:lvl w:ilvl="0" w:tplc="09DC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5"/>
  </w:num>
  <w:num w:numId="4">
    <w:abstractNumId w:val="5"/>
  </w:num>
  <w:num w:numId="5">
    <w:abstractNumId w:val="16"/>
  </w:num>
  <w:num w:numId="6">
    <w:abstractNumId w:val="12"/>
  </w:num>
  <w:num w:numId="7">
    <w:abstractNumId w:val="26"/>
  </w:num>
  <w:num w:numId="8">
    <w:abstractNumId w:val="4"/>
  </w:num>
  <w:num w:numId="9">
    <w:abstractNumId w:val="0"/>
  </w:num>
  <w:num w:numId="10">
    <w:abstractNumId w:val="21"/>
  </w:num>
  <w:num w:numId="11">
    <w:abstractNumId w:val="22"/>
  </w:num>
  <w:num w:numId="12">
    <w:abstractNumId w:val="13"/>
  </w:num>
  <w:num w:numId="13">
    <w:abstractNumId w:val="6"/>
  </w:num>
  <w:num w:numId="14">
    <w:abstractNumId w:val="7"/>
  </w:num>
  <w:num w:numId="15">
    <w:abstractNumId w:val="27"/>
  </w:num>
  <w:num w:numId="16">
    <w:abstractNumId w:val="28"/>
  </w:num>
  <w:num w:numId="17">
    <w:abstractNumId w:val="2"/>
  </w:num>
  <w:num w:numId="18">
    <w:abstractNumId w:val="11"/>
  </w:num>
  <w:num w:numId="19">
    <w:abstractNumId w:val="18"/>
  </w:num>
  <w:num w:numId="20">
    <w:abstractNumId w:val="10"/>
  </w:num>
  <w:num w:numId="21">
    <w:abstractNumId w:val="19"/>
  </w:num>
  <w:num w:numId="22">
    <w:abstractNumId w:val="3"/>
  </w:num>
  <w:num w:numId="23">
    <w:abstractNumId w:val="1"/>
  </w:num>
  <w:num w:numId="24">
    <w:abstractNumId w:val="20"/>
  </w:num>
  <w:num w:numId="25">
    <w:abstractNumId w:val="9"/>
  </w:num>
  <w:num w:numId="26">
    <w:abstractNumId w:val="24"/>
  </w:num>
  <w:num w:numId="27">
    <w:abstractNumId w:val="23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2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pPr>
      <w:keepNext/>
      <w:ind w:left="71"/>
      <w:outlineLvl w:val="7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Pr>
      <w:rFonts w:ascii="Times New Roman" w:eastAsia="Times New Roman" w:hAnsi="Times New Roman" w:cs="Times New Roman"/>
      <w:sz w:val="22"/>
      <w:szCs w:val="20"/>
      <w:lang w:eastAsia="fr-FR"/>
    </w:rPr>
  </w:style>
  <w:style w:type="paragraph" w:styleId="Corpsdetexte">
    <w:name w:val="Body Text"/>
    <w:basedOn w:val="Normal"/>
    <w:link w:val="CorpsdetexteCar"/>
    <w:pPr>
      <w:tabs>
        <w:tab w:val="decimal" w:pos="851"/>
      </w:tabs>
      <w:spacing w:after="120"/>
      <w:ind w:left="907" w:right="-510" w:hanging="113"/>
    </w:p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eastAsia="Times New Roman" w:hAnsi="Times New Roman" w:cs="Times New Roman"/>
      <w:sz w:val="22"/>
      <w:szCs w:val="20"/>
      <w:lang w:eastAsia="fr-FR"/>
    </w:rPr>
  </w:style>
  <w:style w:type="paragraph" w:customStyle="1" w:styleId="tableauc">
    <w:name w:val="tableauc"/>
    <w:basedOn w:val="Normal"/>
    <w:autoRedefine/>
    <w:pPr>
      <w:jc w:val="center"/>
    </w:pPr>
    <w:rPr>
      <w:b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sz w:val="24"/>
      <w:szCs w:val="24"/>
    </w:rPr>
  </w:style>
  <w:style w:type="character" w:customStyle="1" w:styleId="apple-converted-space">
    <w:name w:val="apple-converted-space"/>
    <w:basedOn w:val="Policepardfau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EADC6D01-5A0C-4788-AB4F-462BA29C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1181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goulet02</cp:lastModifiedBy>
  <cp:revision>15</cp:revision>
  <dcterms:created xsi:type="dcterms:W3CDTF">2019-03-26T10:30:00Z</dcterms:created>
  <dcterms:modified xsi:type="dcterms:W3CDTF">2019-09-05T14:28:00Z</dcterms:modified>
</cp:coreProperties>
</file>