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4762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 w:rsidR="00000000" w:rsidRDefault="00D4762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000000" w:rsidRDefault="00D47621">
      <w:pPr>
        <w:pStyle w:val="Texte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 ET DE LA RECHERCHE SCIENTIFIQUE</w:t>
      </w:r>
    </w:p>
    <w:p w:rsidR="00000000" w:rsidRDefault="00D47621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000000" w:rsidRDefault="00D4762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/>
    <w:p w:rsidR="00000000" w:rsidRDefault="00D47621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D47621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00000" w:rsidRDefault="00D47621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D47621"/>
    <w:p w:rsidR="00000000" w:rsidRDefault="00D47621"/>
    <w:p w:rsidR="00000000" w:rsidRDefault="00D47621">
      <w:pPr>
        <w:jc w:val="center"/>
        <w:rPr>
          <w:b/>
          <w:sz w:val="22"/>
        </w:rPr>
      </w:pPr>
      <w:r>
        <w:rPr>
          <w:b/>
          <w:sz w:val="22"/>
        </w:rPr>
        <w:t>UNITE DE FORMATION</w:t>
      </w:r>
    </w:p>
    <w:p w:rsidR="00000000" w:rsidRDefault="00D47621">
      <w:pPr>
        <w:jc w:val="center"/>
        <w:rPr>
          <w:sz w:val="22"/>
        </w:rPr>
      </w:pPr>
    </w:p>
    <w:p w:rsidR="00000000" w:rsidRDefault="00D47621">
      <w:pPr>
        <w:jc w:val="center"/>
        <w:rPr>
          <w:b/>
          <w:sz w:val="32"/>
        </w:rPr>
      </w:pPr>
      <w:r>
        <w:rPr>
          <w:b/>
          <w:sz w:val="32"/>
        </w:rPr>
        <w:t>EPREUVE INTEGREE DE LA SECTIO</w:t>
      </w:r>
      <w:r>
        <w:rPr>
          <w:b/>
          <w:sz w:val="32"/>
        </w:rPr>
        <w:t xml:space="preserve">N: </w:t>
      </w:r>
    </w:p>
    <w:p w:rsidR="00000000" w:rsidRDefault="00D47621">
      <w:pPr>
        <w:jc w:val="center"/>
      </w:pPr>
      <w:r>
        <w:rPr>
          <w:b/>
          <w:caps/>
          <w:sz w:val="32"/>
        </w:rPr>
        <w:t>INTERPRETATION EN LANGUE DES SIGNES BELGE</w:t>
      </w:r>
    </w:p>
    <w:p w:rsidR="00000000" w:rsidRDefault="00D47621">
      <w:pPr>
        <w:jc w:val="center"/>
      </w:pPr>
    </w:p>
    <w:p w:rsidR="00000000" w:rsidRDefault="00D47621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economique DE TYPE COURT</w:t>
      </w:r>
    </w:p>
    <w:p w:rsidR="00000000" w:rsidRDefault="00D47621">
      <w:pPr>
        <w:jc w:val="center"/>
      </w:pPr>
    </w:p>
    <w:p w:rsidR="00000000" w:rsidRDefault="00D47621">
      <w:pPr>
        <w:jc w:val="center"/>
      </w:pPr>
    </w:p>
    <w:p w:rsidR="00000000" w:rsidRDefault="00D47621">
      <w:pPr>
        <w:jc w:val="center"/>
      </w:pPr>
    </w:p>
    <w:p w:rsidR="00000000" w:rsidRDefault="00D47621">
      <w:pPr>
        <w:jc w:val="center"/>
      </w:pPr>
    </w:p>
    <w:p w:rsidR="00000000" w:rsidRDefault="00D47621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D47621">
            <w:pPr>
              <w:pStyle w:val="Texte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bookmarkStart w:id="0" w:name="_GoBack"/>
            <w:r>
              <w:rPr>
                <w:rFonts w:ascii="Times New Roman" w:hAnsi="Times New Roman"/>
                <w:b/>
                <w:noProof w:val="0"/>
                <w:sz w:val="22"/>
              </w:rPr>
              <w:t>843230U32D1</w:t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D47621">
            <w:pPr>
              <w:pStyle w:val="Texte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</w:t>
            </w:r>
            <w:r>
              <w:rPr>
                <w:rFonts w:ascii="Times New Roman" w:hAnsi="Times New Roman"/>
                <w:b/>
                <w:noProof w:val="0"/>
                <w:sz w:val="22"/>
              </w:rPr>
              <w:t>DE DU DOMAINE DE FORMATION : 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D47621">
            <w:pPr>
              <w:pStyle w:val="Texte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000000" w:rsidRDefault="00D47621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00000" w:rsidRDefault="00D47621">
      <w:pPr>
        <w:jc w:val="center"/>
      </w:pPr>
    </w:p>
    <w:p w:rsidR="00000000" w:rsidRDefault="00D47621">
      <w:pPr>
        <w:jc w:val="center"/>
      </w:pPr>
    </w:p>
    <w:p w:rsidR="00000000" w:rsidRDefault="00D47621">
      <w:pPr>
        <w:jc w:val="center"/>
      </w:pPr>
    </w:p>
    <w:p w:rsidR="00000000" w:rsidRDefault="00D47621">
      <w:pPr>
        <w:jc w:val="center"/>
      </w:pPr>
    </w:p>
    <w:p w:rsidR="00000000" w:rsidRDefault="00D47621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>
        <w:rPr>
          <w:b/>
        </w:rPr>
        <w:t>11 juin 1999 ,</w:t>
      </w:r>
    </w:p>
    <w:p w:rsidR="00000000" w:rsidRDefault="00D47621">
      <w:pPr>
        <w:jc w:val="center"/>
        <w:rPr>
          <w:b/>
        </w:rPr>
      </w:pPr>
      <w:r>
        <w:rPr>
          <w:b/>
        </w:rPr>
        <w:t>sur avis conforme de la Commission de concertation</w:t>
      </w:r>
    </w:p>
    <w:p w:rsidR="00000000" w:rsidRDefault="00D47621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D476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000000" w:rsidRDefault="00D476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EPREUVE INTEGREE DE LA SECTION: </w:t>
            </w:r>
          </w:p>
          <w:p w:rsidR="00000000" w:rsidRDefault="00D47621">
            <w:pPr>
              <w:jc w:val="center"/>
              <w:rPr>
                <w:b/>
                <w:sz w:val="28"/>
              </w:rPr>
            </w:pPr>
            <w:r>
              <w:rPr>
                <w:b/>
                <w:caps/>
                <w:sz w:val="28"/>
              </w:rPr>
              <w:t>interpretation en langue des signes belge</w:t>
            </w:r>
          </w:p>
          <w:p w:rsidR="00000000" w:rsidRDefault="00D47621">
            <w:pPr>
              <w:jc w:val="center"/>
              <w:rPr>
                <w:b/>
                <w:sz w:val="28"/>
              </w:rPr>
            </w:pPr>
          </w:p>
          <w:p w:rsidR="00000000" w:rsidRDefault="00D47621"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</w:t>
            </w:r>
            <w:r>
              <w:rPr>
                <w:b/>
                <w:caps/>
              </w:rPr>
              <w:t>superieur economique de type court</w:t>
            </w:r>
          </w:p>
          <w:p w:rsidR="00000000" w:rsidRDefault="00D47621">
            <w:pPr>
              <w:jc w:val="center"/>
              <w:rPr>
                <w:b/>
              </w:rPr>
            </w:pPr>
          </w:p>
        </w:tc>
      </w:tr>
    </w:tbl>
    <w:p w:rsidR="00000000" w:rsidRDefault="00D47621"/>
    <w:p w:rsidR="00000000" w:rsidRDefault="00D47621"/>
    <w:p w:rsidR="00000000" w:rsidRDefault="00D47621">
      <w:pPr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DE FORMATION</w:t>
      </w:r>
    </w:p>
    <w:p w:rsidR="00000000" w:rsidRDefault="00D47621"/>
    <w:p w:rsidR="00000000" w:rsidRDefault="00D47621">
      <w:pPr>
        <w:ind w:left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</w:t>
      </w:r>
      <w:r>
        <w:rPr>
          <w:b/>
          <w:sz w:val="22"/>
        </w:rPr>
        <w:t>les</w:t>
      </w:r>
    </w:p>
    <w:p w:rsidR="00000000" w:rsidRDefault="00D47621">
      <w:pPr>
        <w:rPr>
          <w:sz w:val="22"/>
        </w:rPr>
      </w:pPr>
    </w:p>
    <w:p w:rsidR="00000000" w:rsidRDefault="00D47621"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l’enseignement de promotion sociale, cette unité de formation doit :</w:t>
      </w:r>
    </w:p>
    <w:p w:rsidR="00000000" w:rsidRDefault="00D47621">
      <w:pPr>
        <w:jc w:val="both"/>
        <w:rPr>
          <w:sz w:val="22"/>
        </w:rPr>
      </w:pPr>
    </w:p>
    <w:p w:rsidR="00000000" w:rsidRDefault="00D4762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</w:t>
      </w:r>
      <w:r>
        <w:rPr>
          <w:sz w:val="22"/>
        </w:rPr>
        <w:t>elle, sociale et culturelle;</w:t>
      </w:r>
    </w:p>
    <w:p w:rsidR="00000000" w:rsidRDefault="00D47621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000000" w:rsidRDefault="00D4762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000000" w:rsidRDefault="00D47621">
      <w:pPr>
        <w:rPr>
          <w:sz w:val="22"/>
        </w:rPr>
      </w:pPr>
    </w:p>
    <w:p w:rsidR="00000000" w:rsidRDefault="00D47621">
      <w:pPr>
        <w:rPr>
          <w:sz w:val="22"/>
        </w:rPr>
      </w:pPr>
    </w:p>
    <w:p w:rsidR="00000000" w:rsidRDefault="00D47621">
      <w:pPr>
        <w:ind w:left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000000" w:rsidRDefault="00D47621">
      <w:pPr>
        <w:rPr>
          <w:sz w:val="22"/>
        </w:rPr>
      </w:pPr>
    </w:p>
    <w:p w:rsidR="00000000" w:rsidRDefault="00D47621">
      <w:pPr>
        <w:ind w:left="851"/>
        <w:jc w:val="both"/>
        <w:rPr>
          <w:sz w:val="22"/>
        </w:rPr>
      </w:pPr>
      <w:r>
        <w:rPr>
          <w:sz w:val="22"/>
        </w:rPr>
        <w:t>L’unité de for</w:t>
      </w:r>
      <w:r>
        <w:rPr>
          <w:sz w:val="22"/>
        </w:rPr>
        <w:t>mation doit permettre de vérifier que l’étudiant est capable:</w:t>
      </w:r>
    </w:p>
    <w:p w:rsidR="00000000" w:rsidRDefault="00D47621">
      <w:pPr>
        <w:ind w:left="851"/>
        <w:jc w:val="both"/>
        <w:rPr>
          <w:sz w:val="22"/>
        </w:rPr>
      </w:pPr>
    </w:p>
    <w:p w:rsidR="00000000" w:rsidRDefault="00D47621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 xml:space="preserve">d’interpréter dans des contacts </w:t>
      </w:r>
      <w:proofErr w:type="spellStart"/>
      <w:r>
        <w:rPr>
          <w:sz w:val="22"/>
        </w:rPr>
        <w:t>communicationnels</w:t>
      </w:r>
      <w:proofErr w:type="spellEnd"/>
      <w:r>
        <w:rPr>
          <w:sz w:val="22"/>
        </w:rPr>
        <w:t xml:space="preserve"> variés, sous des formes différentes et pour des publics diversifiés;</w:t>
      </w:r>
    </w:p>
    <w:p w:rsidR="00000000" w:rsidRDefault="00D47621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 xml:space="preserve">de prendre du recul par rapport à sa pratique professionnelle, de </w:t>
      </w:r>
      <w:proofErr w:type="spellStart"/>
      <w:r>
        <w:rPr>
          <w:sz w:val="22"/>
        </w:rPr>
        <w:t>s’auto-c</w:t>
      </w:r>
      <w:r>
        <w:rPr>
          <w:sz w:val="22"/>
        </w:rPr>
        <w:t>ontrôler</w:t>
      </w:r>
      <w:proofErr w:type="spellEnd"/>
      <w:r>
        <w:rPr>
          <w:sz w:val="22"/>
        </w:rPr>
        <w:t xml:space="preserve"> et de </w:t>
      </w:r>
      <w:proofErr w:type="spellStart"/>
      <w:r>
        <w:rPr>
          <w:sz w:val="22"/>
        </w:rPr>
        <w:t>s’auto-évaluer</w:t>
      </w:r>
      <w:proofErr w:type="spellEnd"/>
      <w:r>
        <w:rPr>
          <w:sz w:val="22"/>
        </w:rPr>
        <w:t>.</w:t>
      </w:r>
    </w:p>
    <w:p w:rsidR="00000000" w:rsidRDefault="00D47621">
      <w:pPr>
        <w:ind w:left="851"/>
        <w:jc w:val="both"/>
        <w:rPr>
          <w:sz w:val="22"/>
        </w:rPr>
      </w:pPr>
    </w:p>
    <w:p w:rsidR="00000000" w:rsidRDefault="00D47621">
      <w:pPr>
        <w:ind w:left="851"/>
        <w:jc w:val="both"/>
        <w:rPr>
          <w:sz w:val="22"/>
        </w:rPr>
      </w:pPr>
      <w:r>
        <w:rPr>
          <w:sz w:val="22"/>
        </w:rPr>
        <w:br w:type="page"/>
      </w:r>
    </w:p>
    <w:p w:rsidR="00000000" w:rsidRDefault="00D47621">
      <w:pPr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CAPACITES PREALABLES REQUISES</w:t>
      </w:r>
    </w:p>
    <w:p w:rsidR="00000000" w:rsidRDefault="00D47621">
      <w:pPr>
        <w:rPr>
          <w:sz w:val="22"/>
        </w:rPr>
      </w:pPr>
    </w:p>
    <w:p w:rsidR="00000000" w:rsidRDefault="00D47621">
      <w:pPr>
        <w:ind w:left="426"/>
        <w:jc w:val="both"/>
        <w:rPr>
          <w:sz w:val="22"/>
        </w:rPr>
      </w:pPr>
      <w:r>
        <w:rPr>
          <w:sz w:val="22"/>
        </w:rPr>
        <w:t>Sans objet.</w:t>
      </w:r>
    </w:p>
    <w:p w:rsidR="00000000" w:rsidRDefault="00D47621">
      <w:pPr>
        <w:rPr>
          <w:sz w:val="22"/>
        </w:rPr>
      </w:pPr>
    </w:p>
    <w:p w:rsidR="00000000" w:rsidRDefault="00D47621">
      <w:pPr>
        <w:rPr>
          <w:sz w:val="22"/>
        </w:rPr>
      </w:pPr>
    </w:p>
    <w:p w:rsidR="00000000" w:rsidRDefault="00D47621">
      <w:pPr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DE FORMATION</w:t>
      </w:r>
    </w:p>
    <w:p w:rsidR="00000000" w:rsidRDefault="00D47621">
      <w:pPr>
        <w:ind w:left="851" w:hanging="42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rPr>
          <w:u w:val="single"/>
        </w:rPr>
        <w:t>Code U</w:t>
      </w:r>
    </w:p>
    <w:p w:rsidR="00000000" w:rsidRDefault="00D47621">
      <w:pPr>
        <w:pStyle w:val="Texte"/>
        <w:rPr>
          <w:rFonts w:ascii="Times New Roman" w:hAnsi="Times New Roman"/>
          <w:b/>
          <w:noProof w:val="0"/>
        </w:rPr>
      </w:pPr>
      <w:r>
        <w:rPr>
          <w:b/>
        </w:rPr>
        <w:t>3.1.</w:t>
      </w:r>
      <w:r>
        <w:rPr>
          <w:b/>
        </w:rPr>
        <w:tab/>
      </w:r>
      <w:r>
        <w:rPr>
          <w:rFonts w:ascii="Times New Roman" w:hAnsi="Times New Roman"/>
          <w:b/>
          <w:noProof w:val="0"/>
        </w:rPr>
        <w:t>Etudiant</w:t>
      </w:r>
      <w:r>
        <w:rPr>
          <w:rFonts w:ascii="Times New Roman" w:hAnsi="Times New Roman"/>
          <w:noProof w:val="0"/>
        </w:rPr>
        <w:t xml:space="preserve">                       40 périodes</w:t>
      </w:r>
      <w:r>
        <w:rPr>
          <w:rFonts w:ascii="Times New Roman" w:hAnsi="Times New Roman"/>
          <w:noProof w:val="0"/>
        </w:rPr>
        <w:tab/>
        <w:t xml:space="preserve">  </w:t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  <w:t xml:space="preserve">    </w:t>
      </w:r>
      <w:r>
        <w:rPr>
          <w:rFonts w:ascii="Times New Roman" w:hAnsi="Times New Roman"/>
          <w:b/>
          <w:noProof w:val="0"/>
        </w:rPr>
        <w:t xml:space="preserve"> Z</w:t>
      </w:r>
    </w:p>
    <w:p w:rsidR="00000000" w:rsidRDefault="00D47621">
      <w:pPr>
        <w:pStyle w:val="Texte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ab/>
        <w:t xml:space="preserve">Le nombre de périodes suivies par l'étudiant </w:t>
      </w:r>
      <w:r>
        <w:rPr>
          <w:rFonts w:ascii="Times New Roman" w:hAnsi="Times New Roman"/>
          <w:noProof w:val="0"/>
        </w:rPr>
        <w:t>est mentionné sur le titre délivré.</w:t>
      </w:r>
    </w:p>
    <w:p w:rsidR="00000000" w:rsidRDefault="00D47621">
      <w:pPr>
        <w:pStyle w:val="Texte"/>
        <w:rPr>
          <w:rFonts w:ascii="Times New Roman" w:hAnsi="Times New Roman"/>
          <w:noProof w:val="0"/>
        </w:rPr>
      </w:pPr>
    </w:p>
    <w:p w:rsidR="00000000" w:rsidRDefault="00D47621">
      <w:pPr>
        <w:pStyle w:val="Texte"/>
        <w:rPr>
          <w:rFonts w:ascii="Times New Roman" w:hAnsi="Times New Roman"/>
          <w:noProof w:val="0"/>
        </w:rPr>
      </w:pPr>
      <w:r>
        <w:rPr>
          <w:rFonts w:ascii="Times New Roman" w:hAnsi="Times New Roman"/>
          <w:b/>
          <w:noProof w:val="0"/>
        </w:rPr>
        <w:t>3.2.</w:t>
      </w:r>
      <w:r>
        <w:rPr>
          <w:rFonts w:ascii="Times New Roman" w:hAnsi="Times New Roman"/>
          <w:b/>
          <w:noProof w:val="0"/>
        </w:rPr>
        <w:tab/>
        <w:t>Encadrement de l'épreuve intégrée</w:t>
      </w:r>
      <w:r>
        <w:rPr>
          <w:rFonts w:ascii="Times New Roman" w:hAnsi="Times New Roman"/>
          <w:noProof w:val="0"/>
        </w:rPr>
        <w:t>:</w:t>
      </w:r>
    </w:p>
    <w:p w:rsidR="00000000" w:rsidRDefault="00D47621">
      <w:pPr>
        <w:pStyle w:val="Texte"/>
        <w:rPr>
          <w:rFonts w:ascii="Times New Roman" w:hAnsi="Times New Roman"/>
          <w:noProof w:val="0"/>
        </w:rPr>
      </w:pPr>
    </w:p>
    <w:p w:rsidR="00000000" w:rsidRDefault="00D47621">
      <w:pPr>
        <w:pStyle w:val="Texte"/>
        <w:rPr>
          <w:rFonts w:ascii="Times New Roman" w:hAnsi="Times New Roman"/>
          <w:b/>
          <w:noProof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418"/>
        <w:gridCol w:w="851"/>
        <w:gridCol w:w="2126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rPr>
                <w:rFonts w:ascii="Times New Roman" w:hAnsi="Times New Roman"/>
                <w:b/>
                <w:noProof w:val="0"/>
                <w:u w:val="single"/>
              </w:rPr>
            </w:pPr>
            <w:r>
              <w:rPr>
                <w:rFonts w:ascii="Times New Roman" w:hAnsi="Times New Roman"/>
                <w:b/>
                <w:noProof w:val="0"/>
                <w:u w:val="single"/>
              </w:rPr>
              <w:t>Dénomination des cours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b/>
                <w:noProof w:val="0"/>
                <w:u w:val="single"/>
              </w:rPr>
            </w:pPr>
            <w:r>
              <w:rPr>
                <w:rFonts w:ascii="Times New Roman" w:hAnsi="Times New Roman"/>
                <w:b/>
                <w:noProof w:val="0"/>
                <w:u w:val="single"/>
              </w:rPr>
              <w:t>Classement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b/>
                <w:noProof w:val="0"/>
                <w:u w:val="single"/>
              </w:rPr>
            </w:pPr>
            <w:r>
              <w:rPr>
                <w:rFonts w:ascii="Times New Roman" w:hAnsi="Times New Roman"/>
                <w:b/>
                <w:noProof w:val="0"/>
                <w:u w:val="single"/>
              </w:rPr>
              <w:t>Code 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b/>
                <w:noProof w:val="0"/>
                <w:u w:val="single"/>
              </w:rPr>
            </w:pPr>
            <w:r>
              <w:rPr>
                <w:rFonts w:ascii="Times New Roman" w:hAnsi="Times New Roman"/>
                <w:b/>
                <w:noProof w:val="0"/>
                <w:u w:val="single"/>
              </w:rPr>
              <w:t>Nombres de périodes</w:t>
            </w:r>
          </w:p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- par groupe d’étudiants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D47621">
            <w:pPr>
              <w:pStyle w:val="Texte"/>
              <w:ind w:left="357" w:hanging="357"/>
              <w:rPr>
                <w:rFonts w:ascii="Times New Roman" w:hAnsi="Times New Roman"/>
                <w:b/>
                <w:noProof w:val="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Préparation de l’épreuve intégrée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CG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38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Epreuve intégrée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CG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Total des périodes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40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D47621">
            <w:pPr>
              <w:pStyle w:val="Texte"/>
              <w:ind w:left="357" w:hanging="357"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</w:tbl>
    <w:p w:rsidR="00000000" w:rsidRDefault="00D47621">
      <w:pPr>
        <w:pStyle w:val="Texte"/>
        <w:ind w:left="426" w:hanging="142"/>
        <w:rPr>
          <w:rFonts w:ascii="Times New Roman" w:hAnsi="Times New Roman"/>
          <w:noProof w:val="0"/>
        </w:rPr>
      </w:pP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b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826"/>
        <w:gridCol w:w="2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D47621"/>
        </w:tc>
        <w:tc>
          <w:tcPr>
            <w:tcW w:w="1134" w:type="dxa"/>
          </w:tcPr>
          <w:p w:rsidR="00000000" w:rsidRDefault="00D47621">
            <w:pPr>
              <w:jc w:val="center"/>
            </w:pPr>
          </w:p>
        </w:tc>
        <w:tc>
          <w:tcPr>
            <w:tcW w:w="826" w:type="dxa"/>
          </w:tcPr>
          <w:p w:rsidR="00000000" w:rsidRDefault="00D47621">
            <w:pPr>
              <w:jc w:val="center"/>
            </w:pPr>
          </w:p>
        </w:tc>
        <w:tc>
          <w:tcPr>
            <w:tcW w:w="2080" w:type="dxa"/>
          </w:tcPr>
          <w:p w:rsidR="00000000" w:rsidRDefault="00D4762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D47621"/>
        </w:tc>
        <w:tc>
          <w:tcPr>
            <w:tcW w:w="1134" w:type="dxa"/>
          </w:tcPr>
          <w:p w:rsidR="00000000" w:rsidRDefault="00D47621">
            <w:pPr>
              <w:jc w:val="center"/>
            </w:pPr>
          </w:p>
        </w:tc>
        <w:tc>
          <w:tcPr>
            <w:tcW w:w="826" w:type="dxa"/>
          </w:tcPr>
          <w:p w:rsidR="00000000" w:rsidRDefault="00D47621">
            <w:pPr>
              <w:jc w:val="center"/>
            </w:pPr>
          </w:p>
        </w:tc>
        <w:tc>
          <w:tcPr>
            <w:tcW w:w="2080" w:type="dxa"/>
          </w:tcPr>
          <w:p w:rsidR="00000000" w:rsidRDefault="00D47621">
            <w:pPr>
              <w:ind w:right="993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D47621"/>
        </w:tc>
        <w:tc>
          <w:tcPr>
            <w:tcW w:w="1134" w:type="dxa"/>
          </w:tcPr>
          <w:p w:rsidR="00000000" w:rsidRDefault="00D47621">
            <w:pPr>
              <w:jc w:val="center"/>
            </w:pPr>
          </w:p>
        </w:tc>
        <w:tc>
          <w:tcPr>
            <w:tcW w:w="826" w:type="dxa"/>
          </w:tcPr>
          <w:p w:rsidR="00000000" w:rsidRDefault="00D47621">
            <w:pPr>
              <w:jc w:val="center"/>
            </w:pPr>
          </w:p>
        </w:tc>
        <w:tc>
          <w:tcPr>
            <w:tcW w:w="2080" w:type="dxa"/>
          </w:tcPr>
          <w:p w:rsidR="00000000" w:rsidRDefault="00D47621">
            <w:pPr>
              <w:ind w:right="993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D47621"/>
        </w:tc>
        <w:tc>
          <w:tcPr>
            <w:tcW w:w="1134" w:type="dxa"/>
          </w:tcPr>
          <w:p w:rsidR="00000000" w:rsidRDefault="00D47621">
            <w:pPr>
              <w:jc w:val="center"/>
            </w:pPr>
          </w:p>
        </w:tc>
        <w:tc>
          <w:tcPr>
            <w:tcW w:w="826" w:type="dxa"/>
          </w:tcPr>
          <w:p w:rsidR="00000000" w:rsidRDefault="00D47621">
            <w:pPr>
              <w:jc w:val="center"/>
            </w:pPr>
          </w:p>
        </w:tc>
        <w:tc>
          <w:tcPr>
            <w:tcW w:w="2080" w:type="dxa"/>
          </w:tcPr>
          <w:p w:rsidR="00000000" w:rsidRDefault="00D47621">
            <w:pPr>
              <w:ind w:right="993"/>
              <w:jc w:val="right"/>
            </w:pPr>
          </w:p>
        </w:tc>
      </w:tr>
    </w:tbl>
    <w:p w:rsidR="00000000" w:rsidRDefault="00D47621">
      <w:pPr>
        <w:numPr>
          <w:ilvl w:val="12"/>
          <w:numId w:val="0"/>
        </w:numPr>
        <w:ind w:left="708" w:hanging="708"/>
        <w:rPr>
          <w:sz w:val="22"/>
        </w:rPr>
      </w:pPr>
    </w:p>
    <w:p w:rsidR="00000000" w:rsidRDefault="00D47621">
      <w:pPr>
        <w:rPr>
          <w:sz w:val="22"/>
        </w:rPr>
      </w:pPr>
      <w:r>
        <w:rPr>
          <w:sz w:val="22"/>
        </w:rPr>
        <w:br w:type="page"/>
      </w:r>
    </w:p>
    <w:p w:rsidR="00000000" w:rsidRDefault="00D47621">
      <w:pPr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>PROGRAMME</w:t>
      </w:r>
    </w:p>
    <w:p w:rsidR="00000000" w:rsidRDefault="00D47621">
      <w:pPr>
        <w:rPr>
          <w:sz w:val="22"/>
        </w:rPr>
      </w:pPr>
    </w:p>
    <w:p w:rsidR="00000000" w:rsidRDefault="00D47621">
      <w:pPr>
        <w:ind w:left="426"/>
        <w:rPr>
          <w:sz w:val="22"/>
        </w:rPr>
      </w:pPr>
      <w:r>
        <w:rPr>
          <w:b/>
          <w:sz w:val="22"/>
        </w:rPr>
        <w:t>4.1.</w:t>
      </w:r>
      <w:r>
        <w:rPr>
          <w:b/>
          <w:sz w:val="22"/>
        </w:rPr>
        <w:tab/>
        <w:t>Programme pour les étudiants</w:t>
      </w:r>
    </w:p>
    <w:p w:rsidR="00000000" w:rsidRDefault="00D47621">
      <w:pPr>
        <w:rPr>
          <w:sz w:val="22"/>
        </w:rPr>
      </w:pPr>
    </w:p>
    <w:p w:rsidR="00000000" w:rsidRDefault="00D47621">
      <w:pPr>
        <w:pStyle w:val="Texte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L’étudiant fournira un travail développé, d’une part, par écrit en langue française, et, d’autre part, en langue des signes sur support vidéo. Le sujet de ce travail </w:t>
      </w:r>
      <w:r>
        <w:rPr>
          <w:rFonts w:ascii="Times New Roman" w:hAnsi="Times New Roman"/>
          <w:sz w:val="22"/>
        </w:rPr>
        <w:t>sera choisi parmi les domaines d’activité de l’interprète. Le travail concerne la langue des signes et l’interprétation.</w:t>
      </w:r>
    </w:p>
    <w:p w:rsidR="00000000" w:rsidRDefault="00D47621">
      <w:pPr>
        <w:pStyle w:val="Texte"/>
        <w:ind w:left="357" w:hanging="357"/>
        <w:jc w:val="both"/>
        <w:rPr>
          <w:rFonts w:ascii="Times New Roman" w:hAnsi="Times New Roman"/>
          <w:b/>
          <w:sz w:val="22"/>
        </w:rPr>
      </w:pPr>
    </w:p>
    <w:p w:rsidR="00000000" w:rsidRDefault="00D47621">
      <w:pPr>
        <w:pStyle w:val="Texte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Il sera mis en situation de communication interactive devant un groupe et devant des documents de types variés lui permettant de démon</w:t>
      </w:r>
      <w:r>
        <w:rPr>
          <w:rFonts w:ascii="Times New Roman" w:hAnsi="Times New Roman"/>
          <w:sz w:val="22"/>
        </w:rPr>
        <w:t xml:space="preserve">trer qu’il: </w:t>
      </w:r>
    </w:p>
    <w:p w:rsidR="00000000" w:rsidRDefault="00D47621">
      <w:pPr>
        <w:jc w:val="both"/>
        <w:rPr>
          <w:sz w:val="22"/>
        </w:rPr>
      </w:pPr>
    </w:p>
    <w:p w:rsidR="00000000" w:rsidRDefault="00D47621">
      <w:pPr>
        <w:numPr>
          <w:ilvl w:val="0"/>
          <w:numId w:val="7"/>
        </w:numPr>
        <w:spacing w:line="240" w:lineRule="exact"/>
        <w:jc w:val="both"/>
        <w:rPr>
          <w:sz w:val="22"/>
        </w:rPr>
      </w:pPr>
      <w:r>
        <w:rPr>
          <w:sz w:val="22"/>
        </w:rPr>
        <w:t>maîtrise la langue des signes, tant en expression qu’en compréhension;</w:t>
      </w:r>
    </w:p>
    <w:p w:rsidR="00000000" w:rsidRDefault="00D47621">
      <w:pPr>
        <w:numPr>
          <w:ilvl w:val="0"/>
          <w:numId w:val="7"/>
        </w:numPr>
        <w:spacing w:line="240" w:lineRule="exact"/>
        <w:jc w:val="both"/>
        <w:rPr>
          <w:sz w:val="22"/>
        </w:rPr>
      </w:pPr>
      <w:r>
        <w:rPr>
          <w:sz w:val="22"/>
        </w:rPr>
        <w:t>maîtrise la langue française orale et écrite;</w:t>
      </w:r>
    </w:p>
    <w:p w:rsidR="00000000" w:rsidRDefault="00D47621">
      <w:pPr>
        <w:spacing w:line="240" w:lineRule="exact"/>
        <w:jc w:val="both"/>
        <w:rPr>
          <w:sz w:val="22"/>
        </w:rPr>
      </w:pPr>
    </w:p>
    <w:p w:rsidR="00000000" w:rsidRDefault="00D47621">
      <w:pPr>
        <w:numPr>
          <w:ilvl w:val="0"/>
          <w:numId w:val="7"/>
        </w:numPr>
        <w:spacing w:line="240" w:lineRule="exact"/>
        <w:jc w:val="both"/>
        <w:rPr>
          <w:sz w:val="22"/>
        </w:rPr>
      </w:pPr>
      <w:r>
        <w:rPr>
          <w:sz w:val="22"/>
        </w:rPr>
        <w:t>est capable:</w:t>
      </w:r>
    </w:p>
    <w:p w:rsidR="00000000" w:rsidRDefault="00D47621">
      <w:pPr>
        <w:spacing w:line="240" w:lineRule="exact"/>
        <w:jc w:val="both"/>
        <w:rPr>
          <w:sz w:val="22"/>
        </w:rPr>
      </w:pPr>
    </w:p>
    <w:p w:rsidR="00000000" w:rsidRDefault="00D47621">
      <w:pPr>
        <w:numPr>
          <w:ilvl w:val="0"/>
          <w:numId w:val="9"/>
        </w:numPr>
        <w:tabs>
          <w:tab w:val="clear" w:pos="360"/>
          <w:tab w:val="num" w:pos="1276"/>
        </w:tabs>
        <w:spacing w:line="240" w:lineRule="exact"/>
        <w:ind w:left="1276" w:hanging="283"/>
        <w:jc w:val="both"/>
        <w:rPr>
          <w:sz w:val="22"/>
        </w:rPr>
      </w:pPr>
      <w:r>
        <w:rPr>
          <w:sz w:val="22"/>
        </w:rPr>
        <w:t>d’émettre des messages en tenant compte, dans chaque langue, des différents niveaux (forme et sens);</w:t>
      </w:r>
    </w:p>
    <w:p w:rsidR="00000000" w:rsidRDefault="00D47621">
      <w:pPr>
        <w:numPr>
          <w:ilvl w:val="0"/>
          <w:numId w:val="9"/>
        </w:numPr>
        <w:ind w:firstLine="633"/>
        <w:jc w:val="both"/>
        <w:rPr>
          <w:sz w:val="22"/>
        </w:rPr>
      </w:pPr>
      <w:r>
        <w:rPr>
          <w:sz w:val="22"/>
        </w:rPr>
        <w:t xml:space="preserve">de prise </w:t>
      </w:r>
      <w:r>
        <w:rPr>
          <w:sz w:val="22"/>
        </w:rPr>
        <w:t>de recul et de réflexion;</w:t>
      </w:r>
    </w:p>
    <w:p w:rsidR="00000000" w:rsidRDefault="00D47621">
      <w:pPr>
        <w:numPr>
          <w:ilvl w:val="0"/>
          <w:numId w:val="9"/>
        </w:numPr>
        <w:ind w:firstLine="633"/>
        <w:jc w:val="both"/>
        <w:rPr>
          <w:sz w:val="22"/>
        </w:rPr>
      </w:pPr>
      <w:proofErr w:type="spellStart"/>
      <w:r>
        <w:rPr>
          <w:sz w:val="22"/>
        </w:rPr>
        <w:t>d’auto-contrôle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d’auto-évaluation</w:t>
      </w:r>
      <w:proofErr w:type="spellEnd"/>
      <w:r>
        <w:rPr>
          <w:sz w:val="22"/>
        </w:rPr>
        <w:t>;</w:t>
      </w:r>
    </w:p>
    <w:p w:rsidR="00000000" w:rsidRDefault="00D47621">
      <w:pPr>
        <w:numPr>
          <w:ilvl w:val="0"/>
          <w:numId w:val="9"/>
        </w:numPr>
        <w:tabs>
          <w:tab w:val="clear" w:pos="360"/>
          <w:tab w:val="left" w:pos="1276"/>
        </w:tabs>
        <w:ind w:left="1276" w:hanging="283"/>
        <w:jc w:val="both"/>
        <w:rPr>
          <w:sz w:val="22"/>
        </w:rPr>
      </w:pPr>
      <w:r>
        <w:rPr>
          <w:sz w:val="22"/>
        </w:rPr>
        <w:t>d’interpréter dans des contextes différents (ex.: domaines médical, juridique, scolaire, etc.), sous des formes différentes (consécutive, simultanée, de liaison et de conférence) et pour un pu</w:t>
      </w:r>
      <w:r>
        <w:rPr>
          <w:sz w:val="22"/>
        </w:rPr>
        <w:t>blic diversifié.</w:t>
      </w:r>
    </w:p>
    <w:p w:rsidR="00000000" w:rsidRDefault="00D47621">
      <w:pPr>
        <w:numPr>
          <w:ilvl w:val="12"/>
          <w:numId w:val="0"/>
        </w:numPr>
        <w:jc w:val="both"/>
        <w:rPr>
          <w:sz w:val="22"/>
        </w:rPr>
      </w:pPr>
    </w:p>
    <w:p w:rsidR="00000000" w:rsidRDefault="00D47621">
      <w:pPr>
        <w:pStyle w:val="Texte"/>
        <w:jc w:val="both"/>
      </w:pPr>
      <w:r>
        <w:t>.</w:t>
      </w:r>
    </w:p>
    <w:p w:rsidR="00000000" w:rsidRDefault="00D47621">
      <w:pPr>
        <w:ind w:left="426"/>
        <w:jc w:val="both"/>
        <w:rPr>
          <w:sz w:val="22"/>
        </w:rPr>
      </w:pPr>
      <w:r>
        <w:rPr>
          <w:b/>
          <w:sz w:val="22"/>
        </w:rPr>
        <w:t>4.2.</w:t>
      </w:r>
      <w:r>
        <w:rPr>
          <w:b/>
          <w:sz w:val="22"/>
        </w:rPr>
        <w:tab/>
        <w:t>Programme pour le personnel chargé de cours</w:t>
      </w:r>
    </w:p>
    <w:p w:rsidR="00000000" w:rsidRDefault="00D47621">
      <w:pPr>
        <w:jc w:val="both"/>
        <w:rPr>
          <w:sz w:val="22"/>
        </w:rPr>
      </w:pPr>
    </w:p>
    <w:p w:rsidR="00000000" w:rsidRDefault="00D47621">
      <w:pPr>
        <w:pStyle w:val="Texte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Le chargé de cours veillera à informer et à conseiller l’étudiant dans le choix d’un travail de fin d’études permettant d’illustrer la maîtrise des compétences décrites ci-dessus. </w:t>
      </w:r>
    </w:p>
    <w:p w:rsidR="00000000" w:rsidRDefault="00D47621">
      <w:pPr>
        <w:pStyle w:val="Texte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gu</w:t>
      </w:r>
      <w:r>
        <w:rPr>
          <w:rFonts w:ascii="Times New Roman" w:hAnsi="Times New Roman"/>
          <w:sz w:val="22"/>
        </w:rPr>
        <w:t>idera le travail préparatoire.</w:t>
      </w:r>
    </w:p>
    <w:p w:rsidR="00000000" w:rsidRDefault="00D47621">
      <w:pPr>
        <w:pStyle w:val="Texte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aidera l’étudiant à structurer le travail et le préparera à le présenter devant un jury. </w:t>
      </w:r>
    </w:p>
    <w:p w:rsidR="00000000" w:rsidRDefault="00D47621">
      <w:pPr>
        <w:pStyle w:val="Texte"/>
        <w:numPr>
          <w:ilvl w:val="0"/>
          <w:numId w:val="13"/>
        </w:num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Il organisera l’épreuve de manière à ce que le jury puisse vérifier que l’étudiant maîtrise les compétences visées au programme de c</w:t>
      </w:r>
      <w:r>
        <w:rPr>
          <w:rFonts w:ascii="Times New Roman" w:hAnsi="Times New Roman"/>
          <w:sz w:val="22"/>
        </w:rPr>
        <w:t>e dernier.</w:t>
      </w:r>
    </w:p>
    <w:p w:rsidR="00000000" w:rsidRDefault="00D47621">
      <w:pPr>
        <w:ind w:left="851"/>
        <w:jc w:val="both"/>
        <w:rPr>
          <w:sz w:val="22"/>
        </w:rPr>
      </w:pPr>
    </w:p>
    <w:p w:rsidR="00000000" w:rsidRDefault="00D47621">
      <w:pPr>
        <w:rPr>
          <w:sz w:val="22"/>
        </w:rPr>
      </w:pPr>
      <w:r>
        <w:rPr>
          <w:sz w:val="22"/>
        </w:rPr>
        <w:br w:type="page"/>
      </w:r>
    </w:p>
    <w:p w:rsidR="00000000" w:rsidRDefault="00D47621">
      <w:pPr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CAPACITES TERMINALES</w:t>
      </w:r>
    </w:p>
    <w:p w:rsidR="00000000" w:rsidRDefault="00D47621">
      <w:pPr>
        <w:rPr>
          <w:sz w:val="22"/>
        </w:rPr>
      </w:pPr>
    </w:p>
    <w:p w:rsidR="00000000" w:rsidRDefault="00D47621">
      <w:pPr>
        <w:rPr>
          <w:i/>
          <w:sz w:val="22"/>
        </w:rPr>
      </w:pPr>
    </w:p>
    <w:p w:rsidR="00000000" w:rsidRDefault="00D47621">
      <w:pPr>
        <w:rPr>
          <w:i/>
          <w:sz w:val="22"/>
        </w:rPr>
      </w:pPr>
      <w:r>
        <w:rPr>
          <w:i/>
          <w:sz w:val="22"/>
        </w:rPr>
        <w:t>Lors de  la présentation du travail de fin d’études et lors de chacune des épreuves suivantes:</w:t>
      </w:r>
    </w:p>
    <w:p w:rsidR="00000000" w:rsidRDefault="00D47621">
      <w:pPr>
        <w:rPr>
          <w:i/>
          <w:sz w:val="22"/>
        </w:rPr>
      </w:pPr>
    </w:p>
    <w:p w:rsidR="00000000" w:rsidRDefault="00D47621">
      <w:pPr>
        <w:numPr>
          <w:ilvl w:val="0"/>
          <w:numId w:val="10"/>
        </w:numPr>
        <w:ind w:firstLine="426"/>
        <w:rPr>
          <w:i/>
          <w:sz w:val="22"/>
        </w:rPr>
      </w:pPr>
      <w:r>
        <w:rPr>
          <w:i/>
          <w:sz w:val="22"/>
        </w:rPr>
        <w:t>d’interprétation consécutive d’au moins 5 minutes dans chaque sens;</w:t>
      </w:r>
    </w:p>
    <w:p w:rsidR="00000000" w:rsidRDefault="00D47621">
      <w:pPr>
        <w:numPr>
          <w:ilvl w:val="0"/>
          <w:numId w:val="10"/>
        </w:numPr>
        <w:ind w:firstLine="426"/>
        <w:rPr>
          <w:i/>
          <w:sz w:val="22"/>
        </w:rPr>
      </w:pPr>
      <w:r>
        <w:rPr>
          <w:i/>
          <w:sz w:val="22"/>
        </w:rPr>
        <w:t>d’interprétation de liaison d’au moins 5 minutes;</w:t>
      </w:r>
    </w:p>
    <w:p w:rsidR="00000000" w:rsidRDefault="00D47621">
      <w:pPr>
        <w:numPr>
          <w:ilvl w:val="0"/>
          <w:numId w:val="10"/>
        </w:numPr>
        <w:ind w:firstLine="426"/>
        <w:rPr>
          <w:i/>
          <w:sz w:val="22"/>
        </w:rPr>
      </w:pPr>
      <w:r>
        <w:rPr>
          <w:i/>
          <w:sz w:val="22"/>
        </w:rPr>
        <w:t>d’</w:t>
      </w:r>
      <w:r>
        <w:rPr>
          <w:i/>
          <w:sz w:val="22"/>
        </w:rPr>
        <w:t>interprétation de conférence d’au moins 5 minutes dans chaque sens,</w:t>
      </w:r>
    </w:p>
    <w:p w:rsidR="00000000" w:rsidRDefault="00D47621">
      <w:pPr>
        <w:rPr>
          <w:i/>
          <w:sz w:val="22"/>
        </w:rPr>
      </w:pPr>
    </w:p>
    <w:p w:rsidR="00000000" w:rsidRDefault="00D47621">
      <w:pPr>
        <w:rPr>
          <w:b/>
          <w:i/>
          <w:sz w:val="22"/>
        </w:rPr>
      </w:pPr>
      <w:r>
        <w:rPr>
          <w:b/>
          <w:sz w:val="22"/>
        </w:rPr>
        <w:t>pour atteindre le seuil de réussite,  l'étudiant devra faire la preuve:</w:t>
      </w:r>
    </w:p>
    <w:p w:rsidR="00000000" w:rsidRDefault="00D47621">
      <w:pPr>
        <w:rPr>
          <w:i/>
          <w:sz w:val="22"/>
        </w:rPr>
      </w:pPr>
    </w:p>
    <w:p w:rsidR="00000000" w:rsidRDefault="00D47621">
      <w:pPr>
        <w:rPr>
          <w:sz w:val="22"/>
        </w:rPr>
      </w:pPr>
      <w:r>
        <w:rPr>
          <w:sz w:val="22"/>
        </w:rPr>
        <w:t>- d’une très bonne maîtrise des facultés suivantes:</w:t>
      </w:r>
    </w:p>
    <w:p w:rsidR="00000000" w:rsidRDefault="00D47621">
      <w:pPr>
        <w:rPr>
          <w:sz w:val="22"/>
        </w:rPr>
      </w:pP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compréhension de la langue des signes;</w:t>
      </w: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expression en langue d</w:t>
      </w:r>
      <w:r>
        <w:rPr>
          <w:sz w:val="22"/>
          <w:lang w:val="fr-BE"/>
        </w:rPr>
        <w:t>es signes;</w:t>
      </w: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compréhension du français;</w:t>
      </w: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expression en français;</w:t>
      </w: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transfert en langue cible ("</w:t>
      </w:r>
      <w:proofErr w:type="spellStart"/>
      <w:r>
        <w:rPr>
          <w:sz w:val="22"/>
          <w:lang w:val="fr-BE"/>
        </w:rPr>
        <w:t>processing</w:t>
      </w:r>
      <w:proofErr w:type="spellEnd"/>
      <w:r>
        <w:rPr>
          <w:sz w:val="22"/>
          <w:lang w:val="fr-BE"/>
        </w:rPr>
        <w:t>", opération de passage d'une langue à l'autre);</w:t>
      </w: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analyse et synthèse;</w:t>
      </w:r>
    </w:p>
    <w:p w:rsidR="00000000" w:rsidRDefault="00D47621">
      <w:pPr>
        <w:numPr>
          <w:ilvl w:val="0"/>
          <w:numId w:val="11"/>
        </w:numPr>
        <w:tabs>
          <w:tab w:val="left" w:pos="709"/>
        </w:tabs>
        <w:ind w:left="1134" w:hanging="425"/>
        <w:rPr>
          <w:sz w:val="22"/>
          <w:lang w:val="fr-BE"/>
        </w:rPr>
      </w:pPr>
      <w:proofErr w:type="spellStart"/>
      <w:r>
        <w:rPr>
          <w:sz w:val="22"/>
          <w:lang w:val="fr-BE"/>
        </w:rPr>
        <w:t>déverbalisation</w:t>
      </w:r>
      <w:proofErr w:type="spellEnd"/>
      <w:r>
        <w:rPr>
          <w:sz w:val="22"/>
          <w:lang w:val="fr-BE"/>
        </w:rPr>
        <w:t xml:space="preserve"> (capacité de se détacher du texte pour viser une adéquation par rappor</w:t>
      </w:r>
      <w:r>
        <w:rPr>
          <w:sz w:val="22"/>
          <w:lang w:val="fr-BE"/>
        </w:rPr>
        <w:t>t au contenu et à l'intention).</w:t>
      </w:r>
    </w:p>
    <w:p w:rsidR="00000000" w:rsidRDefault="00D47621">
      <w:pPr>
        <w:numPr>
          <w:ilvl w:val="12"/>
          <w:numId w:val="0"/>
        </w:numPr>
        <w:tabs>
          <w:tab w:val="left" w:pos="0"/>
        </w:tabs>
        <w:rPr>
          <w:sz w:val="22"/>
          <w:lang w:val="fr-BE"/>
        </w:rPr>
      </w:pPr>
    </w:p>
    <w:p w:rsidR="00000000" w:rsidRDefault="00D47621">
      <w:pPr>
        <w:rPr>
          <w:sz w:val="22"/>
        </w:rPr>
      </w:pPr>
      <w:r>
        <w:rPr>
          <w:sz w:val="22"/>
        </w:rPr>
        <w:t>- d’une maîtrise des facultés suivantes:</w:t>
      </w:r>
    </w:p>
    <w:p w:rsidR="00000000" w:rsidRDefault="00D47621">
      <w:pPr>
        <w:rPr>
          <w:sz w:val="22"/>
        </w:rPr>
      </w:pPr>
    </w:p>
    <w:p w:rsidR="00000000" w:rsidRDefault="00D47621">
      <w:pPr>
        <w:numPr>
          <w:ilvl w:val="0"/>
          <w:numId w:val="11"/>
        </w:numPr>
        <w:tabs>
          <w:tab w:val="left" w:pos="360"/>
        </w:tabs>
        <w:ind w:firstLine="349"/>
        <w:rPr>
          <w:sz w:val="22"/>
          <w:lang w:val="fr-BE"/>
        </w:rPr>
      </w:pPr>
      <w:r>
        <w:rPr>
          <w:sz w:val="22"/>
          <w:lang w:val="fr-BE"/>
        </w:rPr>
        <w:t xml:space="preserve"> communication;</w:t>
      </w:r>
    </w:p>
    <w:p w:rsidR="00000000" w:rsidRDefault="00D47621">
      <w:pPr>
        <w:numPr>
          <w:ilvl w:val="0"/>
          <w:numId w:val="11"/>
        </w:numPr>
        <w:ind w:left="1134" w:hanging="425"/>
        <w:rPr>
          <w:sz w:val="22"/>
          <w:lang w:val="fr-BE"/>
        </w:rPr>
      </w:pPr>
      <w:r>
        <w:rPr>
          <w:sz w:val="22"/>
          <w:lang w:val="fr-BE"/>
        </w:rPr>
        <w:t>capacité de prendre du recul par rapport à lui-même, de s’auto-contrôler et  de s’</w:t>
      </w:r>
      <w:proofErr w:type="spellStart"/>
      <w:r>
        <w:rPr>
          <w:sz w:val="22"/>
          <w:lang w:val="fr-BE"/>
        </w:rPr>
        <w:t>auto-s’évaluer</w:t>
      </w:r>
      <w:proofErr w:type="spellEnd"/>
      <w:r>
        <w:rPr>
          <w:sz w:val="22"/>
          <w:lang w:val="fr-BE"/>
        </w:rPr>
        <w:t>;</w:t>
      </w:r>
    </w:p>
    <w:p w:rsidR="00000000" w:rsidRDefault="00D47621">
      <w:pPr>
        <w:numPr>
          <w:ilvl w:val="0"/>
          <w:numId w:val="11"/>
        </w:numPr>
        <w:tabs>
          <w:tab w:val="left" w:pos="360"/>
        </w:tabs>
        <w:ind w:firstLine="349"/>
        <w:rPr>
          <w:sz w:val="22"/>
          <w:lang w:val="fr-BE"/>
        </w:rPr>
      </w:pPr>
      <w:r>
        <w:rPr>
          <w:sz w:val="22"/>
          <w:lang w:val="fr-BE"/>
        </w:rPr>
        <w:t xml:space="preserve"> aptitude à se référer à la culture générale et à la culture des So</w:t>
      </w:r>
      <w:r>
        <w:rPr>
          <w:sz w:val="22"/>
          <w:lang w:val="fr-BE"/>
        </w:rPr>
        <w:t>urds.</w:t>
      </w:r>
    </w:p>
    <w:p w:rsidR="00000000" w:rsidRDefault="00D47621">
      <w:pPr>
        <w:tabs>
          <w:tab w:val="left" w:pos="360"/>
        </w:tabs>
        <w:ind w:left="360"/>
        <w:rPr>
          <w:sz w:val="22"/>
          <w:lang w:val="fr-BE"/>
        </w:rPr>
      </w:pPr>
    </w:p>
    <w:p w:rsidR="00000000" w:rsidRDefault="00D47621">
      <w:pPr>
        <w:rPr>
          <w:sz w:val="22"/>
        </w:rPr>
      </w:pPr>
    </w:p>
    <w:p w:rsidR="00000000" w:rsidRDefault="00D47621">
      <w:pPr>
        <w:pStyle w:val="Texte"/>
        <w:rPr>
          <w:rFonts w:ascii="Times New Roman" w:hAnsi="Times New Roman"/>
          <w:noProof w:val="0"/>
          <w:sz w:val="22"/>
        </w:rPr>
      </w:pPr>
    </w:p>
    <w:p w:rsidR="00000000" w:rsidRDefault="00D47621">
      <w:pPr>
        <w:pStyle w:val="Texte"/>
        <w:rPr>
          <w:rFonts w:ascii="Times New Roman" w:hAnsi="Times New Roman"/>
          <w:i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Pour la détermination du degré de maîtrise, </w:t>
      </w:r>
      <w:r>
        <w:rPr>
          <w:rFonts w:ascii="Times New Roman" w:hAnsi="Times New Roman"/>
          <w:noProof w:val="0"/>
          <w:sz w:val="22"/>
        </w:rPr>
        <w:t>il sera tenu compte:</w:t>
      </w:r>
    </w:p>
    <w:p w:rsidR="00000000" w:rsidRDefault="00D47621">
      <w:pPr>
        <w:pStyle w:val="Texte"/>
        <w:rPr>
          <w:rFonts w:ascii="Times New Roman" w:hAnsi="Times New Roman"/>
          <w:noProof w:val="0"/>
          <w:sz w:val="22"/>
        </w:rPr>
      </w:pPr>
    </w:p>
    <w:p w:rsidR="00000000" w:rsidRDefault="00D47621">
      <w:pPr>
        <w:pStyle w:val="Texte"/>
        <w:numPr>
          <w:ilvl w:val="0"/>
          <w:numId w:val="10"/>
        </w:numPr>
        <w:ind w:left="709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du niveau de transfert (passage d’une langue à l’autre);</w:t>
      </w:r>
    </w:p>
    <w:p w:rsidR="00000000" w:rsidRDefault="00D47621">
      <w:pPr>
        <w:pStyle w:val="Texte"/>
        <w:numPr>
          <w:ilvl w:val="0"/>
          <w:numId w:val="10"/>
        </w:numPr>
        <w:ind w:left="709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du niveau d’analyse et de synthèse;</w:t>
      </w:r>
    </w:p>
    <w:p w:rsidR="00000000" w:rsidRDefault="00D47621">
      <w:pPr>
        <w:pStyle w:val="Texte"/>
        <w:numPr>
          <w:ilvl w:val="0"/>
          <w:numId w:val="10"/>
        </w:numPr>
        <w:ind w:left="709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du niveau de déverbalisation;</w:t>
      </w:r>
    </w:p>
    <w:p w:rsidR="00000000" w:rsidRDefault="00D47621">
      <w:pPr>
        <w:pStyle w:val="Texte"/>
        <w:numPr>
          <w:ilvl w:val="0"/>
          <w:numId w:val="10"/>
        </w:numPr>
        <w:ind w:left="709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du niveau de communicativité;</w:t>
      </w:r>
    </w:p>
    <w:p w:rsidR="00000000" w:rsidRDefault="00D47621">
      <w:pPr>
        <w:pStyle w:val="Texte"/>
        <w:numPr>
          <w:ilvl w:val="0"/>
          <w:numId w:val="10"/>
        </w:numPr>
        <w:ind w:left="709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du niveau de culture gé</w:t>
      </w:r>
      <w:r>
        <w:rPr>
          <w:rFonts w:ascii="Times New Roman" w:hAnsi="Times New Roman"/>
          <w:sz w:val="22"/>
        </w:rPr>
        <w:t>nérale;</w:t>
      </w:r>
    </w:p>
    <w:p w:rsidR="00000000" w:rsidRDefault="00D47621">
      <w:pPr>
        <w:pStyle w:val="Texte"/>
        <w:numPr>
          <w:ilvl w:val="0"/>
          <w:numId w:val="10"/>
        </w:numPr>
        <w:ind w:left="709" w:firstLine="0"/>
        <w:rPr>
          <w:rFonts w:ascii="Times New Roman" w:hAnsi="Times New Roman"/>
          <w:b/>
          <w:i/>
          <w:noProof w:val="0"/>
        </w:rPr>
      </w:pPr>
      <w:r>
        <w:rPr>
          <w:rFonts w:ascii="Times New Roman" w:hAnsi="Times New Roman"/>
          <w:sz w:val="22"/>
        </w:rPr>
        <w:t xml:space="preserve"> du niveau de culture des Sourds.</w:t>
      </w:r>
    </w:p>
    <w:p w:rsidR="00000000" w:rsidRDefault="00D47621">
      <w:pPr>
        <w:pStyle w:val="Texte"/>
        <w:ind w:left="357"/>
        <w:rPr>
          <w:rFonts w:ascii="Times New Roman" w:hAnsi="Times New Roman"/>
          <w:noProof w:val="0"/>
          <w:sz w:val="22"/>
        </w:rPr>
      </w:pPr>
    </w:p>
    <w:p w:rsidR="00000000" w:rsidRDefault="00D47621">
      <w:pPr>
        <w:rPr>
          <w:sz w:val="22"/>
        </w:rPr>
      </w:pPr>
      <w:r>
        <w:rPr>
          <w:sz w:val="22"/>
        </w:rPr>
        <w:br w:type="page"/>
      </w:r>
    </w:p>
    <w:p w:rsidR="00000000" w:rsidRDefault="00D47621">
      <w:pPr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CHARGE(S) DE COURS</w:t>
      </w:r>
    </w:p>
    <w:p w:rsidR="00000000" w:rsidRDefault="00D47621">
      <w:pPr>
        <w:rPr>
          <w:sz w:val="22"/>
        </w:rPr>
      </w:pPr>
    </w:p>
    <w:p w:rsidR="00000000" w:rsidRDefault="00D47621">
      <w:pPr>
        <w:ind w:left="426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000000" w:rsidRDefault="00D47621">
      <w:pPr>
        <w:ind w:left="426"/>
        <w:jc w:val="both"/>
        <w:rPr>
          <w:sz w:val="22"/>
        </w:rPr>
      </w:pPr>
      <w:r>
        <w:rPr>
          <w:sz w:val="22"/>
        </w:rPr>
        <w:t>L’expert sera choisi sur une liste établie par le Comité de suivi.</w:t>
      </w:r>
    </w:p>
    <w:p w:rsidR="00000000" w:rsidRDefault="00D47621"/>
    <w:p w:rsidR="00000000" w:rsidRDefault="00D47621">
      <w:pPr>
        <w:ind w:left="426"/>
        <w:jc w:val="both"/>
        <w:rPr>
          <w:sz w:val="22"/>
        </w:rPr>
      </w:pPr>
    </w:p>
    <w:p w:rsidR="00000000" w:rsidRDefault="00D47621"/>
    <w:p w:rsidR="00000000" w:rsidRDefault="00D47621"/>
    <w:p w:rsidR="00000000" w:rsidRDefault="00D47621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</w:r>
      <w:r>
        <w:rPr>
          <w:b/>
          <w:caps/>
          <w:sz w:val="22"/>
        </w:rPr>
        <w:t>Constitution des groupes ou regroupement</w:t>
      </w:r>
    </w:p>
    <w:p w:rsidR="00000000" w:rsidRDefault="00D47621">
      <w:pPr>
        <w:ind w:left="426" w:hanging="426"/>
        <w:jc w:val="both"/>
        <w:rPr>
          <w:b/>
          <w:sz w:val="22"/>
        </w:rPr>
      </w:pPr>
    </w:p>
    <w:p w:rsidR="00000000" w:rsidRDefault="00D47621">
      <w:pPr>
        <w:ind w:left="426"/>
        <w:jc w:val="both"/>
        <w:rPr>
          <w:sz w:val="22"/>
        </w:rPr>
      </w:pPr>
      <w:r>
        <w:rPr>
          <w:sz w:val="22"/>
        </w:rPr>
        <w:t>Aucune recommandatio</w:t>
      </w:r>
      <w:r>
        <w:rPr>
          <w:sz w:val="22"/>
        </w:rPr>
        <w:t>n particulière.</w:t>
      </w:r>
    </w:p>
    <w:p w:rsidR="00D47621" w:rsidRDefault="00D47621">
      <w:pPr>
        <w:rPr>
          <w:sz w:val="22"/>
        </w:rPr>
      </w:pPr>
    </w:p>
    <w:sectPr w:rsidR="00D47621">
      <w:type w:val="continuous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21" w:rsidRDefault="00D47621">
      <w:r>
        <w:separator/>
      </w:r>
    </w:p>
  </w:endnote>
  <w:endnote w:type="continuationSeparator" w:id="0">
    <w:p w:rsidR="00D47621" w:rsidRDefault="00D4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21" w:rsidRDefault="00D47621">
      <w:r>
        <w:separator/>
      </w:r>
    </w:p>
  </w:footnote>
  <w:footnote w:type="continuationSeparator" w:id="0">
    <w:p w:rsidR="00D47621" w:rsidRDefault="00D4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73A8A"/>
    <w:multiLevelType w:val="multilevel"/>
    <w:tmpl w:val="08808E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26653410"/>
    <w:multiLevelType w:val="singleLevel"/>
    <w:tmpl w:val="F8E40EC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" w15:restartNumberingAfterBreak="0">
    <w:nsid w:val="2BDD6AB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932ED"/>
    <w:multiLevelType w:val="multilevel"/>
    <w:tmpl w:val="D794C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B6E083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F3C63C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DF53C31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BA1F80"/>
    <w:multiLevelType w:val="multilevel"/>
    <w:tmpl w:val="5CBE469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1"/>
    <w:rsid w:val="00D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1F174-6F38-47BD-A217-D5F47D8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msoc\Donatienne%20Van%20Kerckhove\Dossier%20&#224;%20traiter\8DEF-E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8DEF-EI</Template>
  <TotalTime>0</TotalTime>
  <Pages>6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épreuve intégrée - définitif</vt:lpstr>
    </vt:vector>
  </TitlesOfParts>
  <Company>CFWB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épreuve intégrée - définitif</dc:title>
  <dc:subject/>
  <dc:creator>Donatienne Van Kerckhove</dc:creator>
  <cp:keywords/>
  <dc:description/>
  <cp:lastModifiedBy>Donatienne Van Kerckhove</cp:lastModifiedBy>
  <cp:revision>1</cp:revision>
  <cp:lastPrinted>1999-08-23T12:50:00Z</cp:lastPrinted>
  <dcterms:created xsi:type="dcterms:W3CDTF">2018-06-29T12:03:00Z</dcterms:created>
  <dcterms:modified xsi:type="dcterms:W3CDTF">2018-06-29T12:03:00Z</dcterms:modified>
</cp:coreProperties>
</file>