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A3A8A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bookmarkStart w:id="0" w:name="_GoBack"/>
      <w:bookmarkEnd w:id="0"/>
      <w:r>
        <w:rPr>
          <w:rFonts w:ascii="Times New Roman" w:hAnsi="Times New Roman"/>
          <w:b/>
          <w:noProof w:val="0"/>
          <w:sz w:val="22"/>
        </w:rPr>
        <w:t>MINISTERE DE LA COMMUNAUTE FRANCAISE</w:t>
      </w:r>
    </w:p>
    <w:p w:rsidR="00000000" w:rsidRDefault="002A3A8A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 w:rsidR="00000000" w:rsidRDefault="002A3A8A">
      <w:pPr>
        <w:pStyle w:val="Texte"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ADMINISTRATION GENERALE DE L’ENSEIGNEMENT ET DE LA RECHERCHE SCIENTIFIQUE</w:t>
      </w:r>
    </w:p>
    <w:p w:rsidR="00000000" w:rsidRDefault="002A3A8A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000000" w:rsidRDefault="002A3A8A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 DE REGIME 1</w:t>
      </w:r>
    </w:p>
    <w:p w:rsidR="00000000" w:rsidRDefault="002A3A8A"/>
    <w:p w:rsidR="00000000" w:rsidRDefault="002A3A8A"/>
    <w:p w:rsidR="00000000" w:rsidRDefault="002A3A8A"/>
    <w:p w:rsidR="00000000" w:rsidRDefault="002A3A8A"/>
    <w:p w:rsidR="00000000" w:rsidRDefault="002A3A8A"/>
    <w:p w:rsidR="00000000" w:rsidRDefault="002A3A8A"/>
    <w:p w:rsidR="00000000" w:rsidRDefault="002A3A8A"/>
    <w:p w:rsidR="00000000" w:rsidRDefault="002A3A8A"/>
    <w:p w:rsidR="00000000" w:rsidRDefault="002A3A8A"/>
    <w:p w:rsidR="00000000" w:rsidRDefault="002A3A8A"/>
    <w:p w:rsidR="00000000" w:rsidRDefault="002A3A8A"/>
    <w:p w:rsidR="00000000" w:rsidRDefault="002A3A8A"/>
    <w:p w:rsidR="00000000" w:rsidRDefault="002A3A8A"/>
    <w:p w:rsidR="00000000" w:rsidRDefault="002A3A8A"/>
    <w:p w:rsidR="00000000" w:rsidRDefault="002A3A8A"/>
    <w:p w:rsidR="00000000" w:rsidRDefault="002A3A8A"/>
    <w:p w:rsidR="00000000" w:rsidRDefault="002A3A8A"/>
    <w:p w:rsidR="00000000" w:rsidRDefault="002A3A8A"/>
    <w:p w:rsidR="00000000" w:rsidRDefault="002A3A8A"/>
    <w:p w:rsidR="00000000" w:rsidRDefault="002A3A8A"/>
    <w:p w:rsidR="00000000" w:rsidRDefault="002A3A8A"/>
    <w:p w:rsidR="00000000" w:rsidRDefault="002A3A8A"/>
    <w:p w:rsidR="00000000" w:rsidRDefault="002A3A8A"/>
    <w:p w:rsidR="00000000" w:rsidRDefault="002A3A8A"/>
    <w:p w:rsidR="00000000" w:rsidRDefault="002A3A8A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000000" w:rsidRDefault="002A3A8A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 w:rsidR="00000000" w:rsidRDefault="002A3A8A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000000" w:rsidRDefault="002A3A8A"/>
    <w:p w:rsidR="00000000" w:rsidRDefault="002A3A8A"/>
    <w:p w:rsidR="00000000" w:rsidRDefault="002A3A8A">
      <w:pPr>
        <w:jc w:val="center"/>
        <w:rPr>
          <w:b/>
          <w:sz w:val="22"/>
        </w:rPr>
      </w:pPr>
      <w:r>
        <w:rPr>
          <w:b/>
          <w:sz w:val="22"/>
        </w:rPr>
        <w:t>UNITE DE FORMATION</w:t>
      </w:r>
    </w:p>
    <w:p w:rsidR="00000000" w:rsidRDefault="002A3A8A">
      <w:pPr>
        <w:jc w:val="center"/>
        <w:rPr>
          <w:sz w:val="22"/>
        </w:rPr>
      </w:pPr>
    </w:p>
    <w:p w:rsidR="00000000" w:rsidRDefault="002A3A8A">
      <w:pPr>
        <w:pStyle w:val="Titre1"/>
      </w:pPr>
      <w:r>
        <w:t>STAGE: interpretation en lang</w:t>
      </w:r>
      <w:r>
        <w:t>ue des signes belge</w:t>
      </w:r>
    </w:p>
    <w:p w:rsidR="00000000" w:rsidRDefault="002A3A8A">
      <w:pPr>
        <w:jc w:val="center"/>
      </w:pPr>
    </w:p>
    <w:p w:rsidR="00000000" w:rsidRDefault="002A3A8A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ENSEIGNEMENT </w:t>
      </w:r>
      <w:r>
        <w:rPr>
          <w:rFonts w:ascii="Times New Roman" w:hAnsi="Times New Roman"/>
          <w:b/>
          <w:caps/>
          <w:noProof w:val="0"/>
          <w:sz w:val="22"/>
        </w:rPr>
        <w:t>superieur economique de type court</w:t>
      </w:r>
    </w:p>
    <w:p w:rsidR="00000000" w:rsidRDefault="002A3A8A">
      <w:pPr>
        <w:jc w:val="center"/>
      </w:pPr>
    </w:p>
    <w:p w:rsidR="00000000" w:rsidRDefault="002A3A8A">
      <w:pPr>
        <w:jc w:val="center"/>
      </w:pPr>
    </w:p>
    <w:p w:rsidR="00000000" w:rsidRDefault="002A3A8A">
      <w:pPr>
        <w:jc w:val="center"/>
      </w:pPr>
    </w:p>
    <w:p w:rsidR="00000000" w:rsidRDefault="002A3A8A">
      <w:pPr>
        <w:jc w:val="center"/>
      </w:pPr>
    </w:p>
    <w:p w:rsidR="00000000" w:rsidRDefault="002A3A8A"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00000" w:rsidRDefault="002A3A8A">
            <w:pPr>
              <w:pStyle w:val="Texte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: 843233U32D1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00000" w:rsidRDefault="002A3A8A">
            <w:pPr>
              <w:pStyle w:val="Texte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</w:t>
            </w:r>
            <w:r>
              <w:rPr>
                <w:rFonts w:ascii="Times New Roman" w:hAnsi="Times New Roman"/>
                <w:b/>
                <w:noProof w:val="0"/>
                <w:sz w:val="22"/>
              </w:rPr>
              <w:t>DE DU DOMAINE DE FORMATION : 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00000" w:rsidRDefault="002A3A8A">
            <w:pPr>
              <w:pStyle w:val="Texte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  <w:p w:rsidR="00000000" w:rsidRDefault="002A3A8A"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</w:p>
        </w:tc>
      </w:tr>
    </w:tbl>
    <w:p w:rsidR="00000000" w:rsidRDefault="002A3A8A">
      <w:pPr>
        <w:jc w:val="center"/>
      </w:pPr>
    </w:p>
    <w:p w:rsidR="00000000" w:rsidRDefault="002A3A8A">
      <w:pPr>
        <w:jc w:val="center"/>
      </w:pPr>
    </w:p>
    <w:p w:rsidR="00000000" w:rsidRDefault="002A3A8A">
      <w:pPr>
        <w:jc w:val="center"/>
      </w:pPr>
    </w:p>
    <w:p w:rsidR="00000000" w:rsidRDefault="002A3A8A">
      <w:pPr>
        <w:jc w:val="center"/>
      </w:pPr>
    </w:p>
    <w:p w:rsidR="00000000" w:rsidRDefault="002A3A8A">
      <w:pPr>
        <w:jc w:val="center"/>
      </w:pPr>
    </w:p>
    <w:p w:rsidR="00000000" w:rsidRDefault="002A3A8A">
      <w:pPr>
        <w:jc w:val="center"/>
        <w:rPr>
          <w:b/>
        </w:rPr>
      </w:pPr>
      <w:r>
        <w:rPr>
          <w:b/>
        </w:rPr>
        <w:t>Approbation du Gouvernement de la Communauté française du 11 juin 1999 ,</w:t>
      </w:r>
    </w:p>
    <w:p w:rsidR="00000000" w:rsidRDefault="002A3A8A">
      <w:pPr>
        <w:jc w:val="center"/>
        <w:rPr>
          <w:b/>
        </w:rPr>
      </w:pPr>
      <w:r>
        <w:rPr>
          <w:b/>
        </w:rPr>
        <w:t>sur avis c</w:t>
      </w:r>
      <w:r>
        <w:rPr>
          <w:b/>
        </w:rPr>
        <w:t>onforme de la Commission de concertation</w:t>
      </w:r>
    </w:p>
    <w:p w:rsidR="00000000" w:rsidRDefault="002A3A8A">
      <w:pPr>
        <w:jc w:val="center"/>
        <w:rPr>
          <w:b/>
        </w:rPr>
      </w:pPr>
    </w:p>
    <w:p w:rsidR="00000000" w:rsidRDefault="002A3A8A"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00000" w:rsidRDefault="002A3A8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br w:type="page"/>
            </w:r>
          </w:p>
          <w:p w:rsidR="00000000" w:rsidRDefault="002A3A8A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>STAGE: interpretation en langue des signes belge</w:t>
            </w:r>
          </w:p>
          <w:p w:rsidR="00000000" w:rsidRDefault="002A3A8A">
            <w:pPr>
              <w:jc w:val="center"/>
              <w:rPr>
                <w:b/>
                <w:sz w:val="28"/>
              </w:rPr>
            </w:pPr>
          </w:p>
          <w:p w:rsidR="00000000" w:rsidRDefault="002A3A8A">
            <w:pPr>
              <w:jc w:val="center"/>
              <w:rPr>
                <w:b/>
                <w:caps/>
              </w:rPr>
            </w:pPr>
            <w:r>
              <w:rPr>
                <w:b/>
              </w:rPr>
              <w:t xml:space="preserve">ENSEIGNEMENT </w:t>
            </w:r>
            <w:r>
              <w:rPr>
                <w:b/>
                <w:caps/>
              </w:rPr>
              <w:t>superieur economique de type court</w:t>
            </w:r>
          </w:p>
          <w:p w:rsidR="00000000" w:rsidRDefault="002A3A8A">
            <w:pPr>
              <w:jc w:val="center"/>
              <w:rPr>
                <w:b/>
              </w:rPr>
            </w:pPr>
          </w:p>
        </w:tc>
      </w:tr>
    </w:tbl>
    <w:p w:rsidR="00000000" w:rsidRDefault="002A3A8A"/>
    <w:p w:rsidR="00000000" w:rsidRDefault="002A3A8A"/>
    <w:p w:rsidR="00000000" w:rsidRDefault="002A3A8A">
      <w:pPr>
        <w:rPr>
          <w:b/>
          <w:sz w:val="22"/>
        </w:rPr>
      </w:pPr>
      <w:r>
        <w:rPr>
          <w:b/>
          <w:sz w:val="22"/>
        </w:rPr>
        <w:t>1.</w:t>
      </w:r>
      <w:r>
        <w:rPr>
          <w:b/>
          <w:sz w:val="22"/>
        </w:rPr>
        <w:tab/>
        <w:t>FINALITES DE L’UNITE DE FORMATION</w:t>
      </w:r>
    </w:p>
    <w:p w:rsidR="00000000" w:rsidRDefault="002A3A8A"/>
    <w:p w:rsidR="00000000" w:rsidRDefault="002A3A8A">
      <w:pPr>
        <w:ind w:left="426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 w:rsidR="00000000" w:rsidRDefault="002A3A8A">
      <w:pPr>
        <w:rPr>
          <w:sz w:val="22"/>
        </w:rPr>
      </w:pPr>
    </w:p>
    <w:p w:rsidR="00000000" w:rsidRDefault="002A3A8A">
      <w:pPr>
        <w:ind w:left="851"/>
        <w:jc w:val="both"/>
        <w:rPr>
          <w:sz w:val="22"/>
        </w:rPr>
      </w:pPr>
      <w:r>
        <w:rPr>
          <w:sz w:val="22"/>
        </w:rPr>
        <w:t>Conformément à l’article 7 du décret de la Co</w:t>
      </w:r>
      <w:r>
        <w:rPr>
          <w:sz w:val="22"/>
        </w:rPr>
        <w:t>mmunauté française du 16 avril 1991 organisant l’enseignement de promotion sociale, cette unité de formation doit :</w:t>
      </w:r>
    </w:p>
    <w:p w:rsidR="00000000" w:rsidRDefault="002A3A8A">
      <w:pPr>
        <w:jc w:val="both"/>
        <w:rPr>
          <w:sz w:val="22"/>
        </w:rPr>
      </w:pPr>
    </w:p>
    <w:p w:rsidR="00000000" w:rsidRDefault="002A3A8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 et culturelle;</w:t>
      </w:r>
    </w:p>
    <w:p w:rsidR="00000000" w:rsidRDefault="002A3A8A">
      <w:pPr>
        <w:numPr>
          <w:ilvl w:val="12"/>
          <w:numId w:val="0"/>
        </w:numPr>
        <w:ind w:left="1134" w:hanging="283"/>
        <w:jc w:val="both"/>
        <w:rPr>
          <w:sz w:val="22"/>
        </w:rPr>
      </w:pPr>
    </w:p>
    <w:p w:rsidR="00000000" w:rsidRDefault="002A3A8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répondre aux besoins</w:t>
      </w:r>
      <w:r>
        <w:rPr>
          <w:sz w:val="22"/>
        </w:rPr>
        <w:t xml:space="preserve"> et demandes en formation émanant des entreprises, des administrations, de l’enseignement et d’une manière générale des milieux socio-économiques et culturels.</w:t>
      </w:r>
    </w:p>
    <w:p w:rsidR="00000000" w:rsidRDefault="002A3A8A">
      <w:pPr>
        <w:rPr>
          <w:sz w:val="22"/>
        </w:rPr>
      </w:pPr>
    </w:p>
    <w:p w:rsidR="00000000" w:rsidRDefault="002A3A8A">
      <w:pPr>
        <w:ind w:left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 w:rsidR="00000000" w:rsidRDefault="002A3A8A">
      <w:pPr>
        <w:rPr>
          <w:sz w:val="22"/>
        </w:rPr>
      </w:pPr>
    </w:p>
    <w:p w:rsidR="00000000" w:rsidRDefault="002A3A8A">
      <w:pPr>
        <w:ind w:left="851"/>
        <w:jc w:val="both"/>
        <w:rPr>
          <w:sz w:val="22"/>
        </w:rPr>
      </w:pPr>
      <w:r>
        <w:rPr>
          <w:sz w:val="22"/>
        </w:rPr>
        <w:t>L’unité de stage vise à amener l’étudiant à mettre en pratique, d</w:t>
      </w:r>
      <w:r>
        <w:rPr>
          <w:sz w:val="22"/>
        </w:rPr>
        <w:t>ans différentes situations et différents domaines où s’exerce la profession d’interprète, les connaissances et les compétences acquises.</w:t>
      </w:r>
    </w:p>
    <w:p w:rsidR="00000000" w:rsidRDefault="002A3A8A">
      <w:pPr>
        <w:ind w:left="851"/>
        <w:jc w:val="both"/>
        <w:rPr>
          <w:sz w:val="22"/>
        </w:rPr>
      </w:pPr>
    </w:p>
    <w:p w:rsidR="00000000" w:rsidRDefault="002A3A8A">
      <w:pPr>
        <w:ind w:left="851"/>
        <w:jc w:val="both"/>
        <w:rPr>
          <w:sz w:val="22"/>
        </w:rPr>
      </w:pPr>
      <w:r>
        <w:rPr>
          <w:sz w:val="22"/>
        </w:rPr>
        <w:t>De plus, l’unité de formation doit amener l’étudiant à une prise de conscience des exigences de la profession.</w:t>
      </w:r>
    </w:p>
    <w:p w:rsidR="00000000" w:rsidRDefault="002A3A8A">
      <w:pPr>
        <w:rPr>
          <w:sz w:val="22"/>
        </w:rPr>
      </w:pPr>
    </w:p>
    <w:p w:rsidR="00000000" w:rsidRDefault="002A3A8A">
      <w:pPr>
        <w:rPr>
          <w:sz w:val="22"/>
        </w:rPr>
      </w:pPr>
      <w:r>
        <w:rPr>
          <w:sz w:val="22"/>
        </w:rPr>
        <w:br w:type="page"/>
      </w:r>
    </w:p>
    <w:p w:rsidR="00000000" w:rsidRDefault="002A3A8A">
      <w:pPr>
        <w:rPr>
          <w:b/>
          <w:sz w:val="22"/>
        </w:rPr>
      </w:pPr>
      <w:r>
        <w:rPr>
          <w:b/>
          <w:sz w:val="22"/>
        </w:rPr>
        <w:t>2.</w:t>
      </w:r>
      <w:r>
        <w:rPr>
          <w:b/>
          <w:sz w:val="22"/>
        </w:rPr>
        <w:tab/>
        <w:t>C</w:t>
      </w:r>
      <w:r>
        <w:rPr>
          <w:b/>
          <w:sz w:val="22"/>
        </w:rPr>
        <w:t>APACITES PREALABLES REQUISES</w:t>
      </w:r>
    </w:p>
    <w:p w:rsidR="00000000" w:rsidRDefault="002A3A8A">
      <w:pPr>
        <w:rPr>
          <w:sz w:val="22"/>
        </w:rPr>
      </w:pPr>
    </w:p>
    <w:p w:rsidR="00000000" w:rsidRDefault="002A3A8A">
      <w:pPr>
        <w:numPr>
          <w:ilvl w:val="12"/>
          <w:numId w:val="0"/>
        </w:numPr>
        <w:ind w:left="426" w:hanging="426"/>
        <w:jc w:val="both"/>
        <w:rPr>
          <w:b/>
          <w:sz w:val="22"/>
        </w:rPr>
      </w:pPr>
      <w:r>
        <w:rPr>
          <w:b/>
          <w:sz w:val="22"/>
        </w:rPr>
        <w:t>2.1. Capacités</w:t>
      </w:r>
    </w:p>
    <w:p w:rsidR="00000000" w:rsidRDefault="002A3A8A">
      <w:pPr>
        <w:numPr>
          <w:ilvl w:val="12"/>
          <w:numId w:val="0"/>
        </w:numPr>
        <w:ind w:left="426"/>
        <w:jc w:val="both"/>
        <w:rPr>
          <w:b/>
          <w:sz w:val="22"/>
        </w:rPr>
      </w:pPr>
    </w:p>
    <w:p w:rsidR="00000000" w:rsidRDefault="002A3A8A">
      <w:pPr>
        <w:numPr>
          <w:ilvl w:val="12"/>
          <w:numId w:val="0"/>
        </w:numPr>
        <w:ind w:left="426"/>
        <w:jc w:val="both"/>
        <w:rPr>
          <w:sz w:val="24"/>
        </w:rPr>
      </w:pPr>
      <w:r>
        <w:rPr>
          <w:b/>
          <w:sz w:val="22"/>
        </w:rPr>
        <w:t>Pour être admis dans cette unité de formation, l’étudiant prouvera qu’il est capable</w:t>
      </w:r>
      <w:r>
        <w:rPr>
          <w:sz w:val="22"/>
        </w:rPr>
        <w:t>:</w:t>
      </w:r>
    </w:p>
    <w:p w:rsidR="00000000" w:rsidRDefault="002A3A8A">
      <w:pPr>
        <w:numPr>
          <w:ilvl w:val="12"/>
          <w:numId w:val="0"/>
        </w:numPr>
        <w:rPr>
          <w:sz w:val="22"/>
        </w:rPr>
      </w:pPr>
    </w:p>
    <w:p w:rsidR="00000000" w:rsidRDefault="002A3A8A">
      <w:pPr>
        <w:pStyle w:val="Texte"/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par sa connaissance approfondie de la langue des signes, d’en assurer l’interprétation consécutive dans les divers contexte</w:t>
      </w:r>
      <w:r>
        <w:rPr>
          <w:rFonts w:ascii="Times New Roman" w:hAnsi="Times New Roman"/>
          <w:noProof w:val="0"/>
          <w:sz w:val="22"/>
        </w:rPr>
        <w:t>s requis en assimilant l’information et en la restituant avec précision;</w:t>
      </w:r>
    </w:p>
    <w:p w:rsidR="00000000" w:rsidRDefault="002A3A8A">
      <w:pPr>
        <w:pStyle w:val="Texte"/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par sa connaissance approfondie de la langue française, d’en assurer l’interprétation consécutive dans les divers contextes requis en assimilant l’information et en la restituant avec</w:t>
      </w:r>
      <w:r>
        <w:rPr>
          <w:rFonts w:ascii="Times New Roman" w:hAnsi="Times New Roman"/>
          <w:noProof w:val="0"/>
          <w:sz w:val="22"/>
        </w:rPr>
        <w:t xml:space="preserve"> précision;</w:t>
      </w:r>
    </w:p>
    <w:p w:rsidR="00000000" w:rsidRDefault="002A3A8A">
      <w:pPr>
        <w:pStyle w:val="Texte"/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par sa connaissance des deux langues, de traduire les messages en respectant les réactions propres aux différents interlocuteurs et les niveaux de langue utilisés;</w:t>
      </w:r>
    </w:p>
    <w:p w:rsidR="00000000" w:rsidRDefault="002A3A8A">
      <w:pPr>
        <w:pStyle w:val="Texte"/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de maîtriser les processus de communication intégrés dans un contexte et un syst</w:t>
      </w:r>
      <w:r>
        <w:rPr>
          <w:rFonts w:ascii="Times New Roman" w:hAnsi="Times New Roman"/>
          <w:noProof w:val="0"/>
          <w:sz w:val="22"/>
        </w:rPr>
        <w:t xml:space="preserve">ème </w:t>
      </w:r>
      <w:proofErr w:type="spellStart"/>
      <w:r>
        <w:rPr>
          <w:rFonts w:ascii="Times New Roman" w:hAnsi="Times New Roman"/>
          <w:noProof w:val="0"/>
          <w:sz w:val="22"/>
        </w:rPr>
        <w:t>interactionnel</w:t>
      </w:r>
      <w:proofErr w:type="spellEnd"/>
      <w:r>
        <w:rPr>
          <w:rFonts w:ascii="Times New Roman" w:hAnsi="Times New Roman"/>
          <w:noProof w:val="0"/>
          <w:sz w:val="22"/>
        </w:rPr>
        <w:t>.</w:t>
      </w:r>
    </w:p>
    <w:p w:rsidR="00000000" w:rsidRDefault="002A3A8A">
      <w:pPr>
        <w:pStyle w:val="Texte"/>
        <w:numPr>
          <w:ilvl w:val="12"/>
          <w:numId w:val="0"/>
        </w:numPr>
        <w:ind w:left="360"/>
        <w:rPr>
          <w:rFonts w:ascii="Times New Roman" w:hAnsi="Times New Roman"/>
          <w:noProof w:val="0"/>
          <w:sz w:val="22"/>
        </w:rPr>
      </w:pPr>
    </w:p>
    <w:p w:rsidR="00000000" w:rsidRDefault="002A3A8A">
      <w:pPr>
        <w:pStyle w:val="Texte"/>
        <w:numPr>
          <w:ilvl w:val="12"/>
          <w:numId w:val="0"/>
        </w:numPr>
        <w:ind w:left="360"/>
        <w:jc w:val="both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 xml:space="preserve">Il sera en outre inscrit dans </w:t>
      </w:r>
      <w:proofErr w:type="spellStart"/>
      <w:r>
        <w:rPr>
          <w:rFonts w:ascii="Times New Roman" w:hAnsi="Times New Roman"/>
          <w:noProof w:val="0"/>
          <w:sz w:val="22"/>
        </w:rPr>
        <w:t>l’U.F</w:t>
      </w:r>
      <w:proofErr w:type="spellEnd"/>
      <w:r>
        <w:rPr>
          <w:rFonts w:ascii="Times New Roman" w:hAnsi="Times New Roman"/>
          <w:noProof w:val="0"/>
          <w:sz w:val="22"/>
        </w:rPr>
        <w:t>. « INTERPRETATION EN LANGUE DES SIGNES BELGE : TECHNIQUES D’INTERPRETATION ».</w:t>
      </w:r>
    </w:p>
    <w:p w:rsidR="00000000" w:rsidRDefault="002A3A8A">
      <w:pPr>
        <w:pStyle w:val="Texte"/>
        <w:ind w:left="426"/>
        <w:jc w:val="both"/>
        <w:rPr>
          <w:rFonts w:ascii="Times New Roman" w:hAnsi="Times New Roman"/>
          <w:sz w:val="22"/>
        </w:rPr>
      </w:pPr>
    </w:p>
    <w:p w:rsidR="00000000" w:rsidRDefault="002A3A8A">
      <w:pPr>
        <w:jc w:val="both"/>
        <w:rPr>
          <w:b/>
          <w:sz w:val="22"/>
        </w:rPr>
      </w:pPr>
      <w:r>
        <w:rPr>
          <w:b/>
          <w:sz w:val="22"/>
        </w:rPr>
        <w:t>2.2. Titre(s) pouvant en tenir lieu </w:t>
      </w:r>
    </w:p>
    <w:p w:rsidR="00000000" w:rsidRDefault="002A3A8A">
      <w:pPr>
        <w:jc w:val="both"/>
        <w:rPr>
          <w:sz w:val="22"/>
        </w:rPr>
      </w:pPr>
    </w:p>
    <w:p w:rsidR="00000000" w:rsidRDefault="002A3A8A">
      <w:pPr>
        <w:pStyle w:val="Retraitcorpsdetexte"/>
        <w:jc w:val="both"/>
      </w:pPr>
      <w:r>
        <w:t>Attestation de réussite de l’unité de formation : « INTERPRETATION EN LANGUE DES S</w:t>
      </w:r>
      <w:r>
        <w:t>IGNES BELGE : COMPETENCES DE BASE ».</w:t>
      </w:r>
    </w:p>
    <w:p w:rsidR="00000000" w:rsidRDefault="002A3A8A">
      <w:pPr>
        <w:ind w:left="426"/>
        <w:jc w:val="both"/>
        <w:rPr>
          <w:sz w:val="22"/>
        </w:rPr>
      </w:pPr>
    </w:p>
    <w:p w:rsidR="00000000" w:rsidRDefault="002A3A8A">
      <w:pPr>
        <w:pStyle w:val="Texte"/>
        <w:numPr>
          <w:ilvl w:val="12"/>
          <w:numId w:val="0"/>
        </w:numPr>
        <w:ind w:left="426"/>
        <w:jc w:val="both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 xml:space="preserve">Il sera en outre inscrit dans </w:t>
      </w:r>
      <w:proofErr w:type="spellStart"/>
      <w:r>
        <w:rPr>
          <w:rFonts w:ascii="Times New Roman" w:hAnsi="Times New Roman"/>
          <w:noProof w:val="0"/>
          <w:sz w:val="22"/>
        </w:rPr>
        <w:t>l’U.F</w:t>
      </w:r>
      <w:proofErr w:type="spellEnd"/>
      <w:r>
        <w:rPr>
          <w:rFonts w:ascii="Times New Roman" w:hAnsi="Times New Roman"/>
          <w:noProof w:val="0"/>
          <w:sz w:val="22"/>
        </w:rPr>
        <w:t>. « INTERPRETATION EN LANGUE DES SIGNES BELGE : TECHNIQUES D’INTERPRETATION ».</w:t>
      </w:r>
    </w:p>
    <w:p w:rsidR="00000000" w:rsidRDefault="002A3A8A">
      <w:pPr>
        <w:ind w:left="426"/>
        <w:rPr>
          <w:sz w:val="22"/>
        </w:rPr>
      </w:pPr>
    </w:p>
    <w:p w:rsidR="00000000" w:rsidRDefault="002A3A8A">
      <w:pPr>
        <w:ind w:left="426"/>
        <w:rPr>
          <w:sz w:val="22"/>
        </w:rPr>
      </w:pPr>
    </w:p>
    <w:p w:rsidR="00000000" w:rsidRDefault="002A3A8A">
      <w:pPr>
        <w:ind w:left="426"/>
        <w:rPr>
          <w:sz w:val="22"/>
        </w:rPr>
      </w:pPr>
    </w:p>
    <w:p w:rsidR="00000000" w:rsidRDefault="002A3A8A">
      <w:pPr>
        <w:rPr>
          <w:b/>
          <w:sz w:val="22"/>
        </w:rPr>
      </w:pPr>
      <w:r>
        <w:rPr>
          <w:b/>
          <w:sz w:val="22"/>
        </w:rPr>
        <w:t>3.</w:t>
      </w:r>
      <w:r>
        <w:rPr>
          <w:b/>
          <w:sz w:val="22"/>
        </w:rPr>
        <w:tab/>
        <w:t>HORAIRE MINIMUM DE L’UNITE DE FORMATION</w:t>
      </w:r>
    </w:p>
    <w:p w:rsidR="00000000" w:rsidRDefault="002A3A8A">
      <w:pPr>
        <w:rPr>
          <w:b/>
          <w:sz w:val="22"/>
        </w:rPr>
      </w:pPr>
    </w:p>
    <w:p w:rsidR="00000000" w:rsidRDefault="002A3A8A">
      <w:pPr>
        <w:numPr>
          <w:ilvl w:val="12"/>
          <w:numId w:val="0"/>
        </w:numPr>
        <w:ind w:left="708" w:hanging="708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2"/>
          <w:u w:val="single"/>
        </w:rPr>
        <w:t>Code U</w:t>
      </w:r>
    </w:p>
    <w:p w:rsidR="00000000" w:rsidRDefault="002A3A8A">
      <w:pPr>
        <w:ind w:left="851" w:hanging="42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</w:t>
      </w:r>
    </w:p>
    <w:p w:rsidR="00000000" w:rsidRDefault="002A3A8A">
      <w:pPr>
        <w:ind w:left="851" w:hanging="425"/>
        <w:jc w:val="both"/>
        <w:rPr>
          <w:b/>
        </w:rPr>
      </w:pPr>
      <w:r>
        <w:rPr>
          <w:b/>
        </w:rPr>
        <w:t>3.1.</w:t>
      </w:r>
      <w:r>
        <w:rPr>
          <w:b/>
        </w:rPr>
        <w:tab/>
        <w:t xml:space="preserve">Etudiant : </w:t>
      </w:r>
      <w:r>
        <w:tab/>
      </w:r>
      <w:r>
        <w:tab/>
        <w:t>6</w:t>
      </w:r>
      <w:r>
        <w:t>0 périodes</w:t>
      </w:r>
      <w:r>
        <w:rPr>
          <w:b/>
        </w:rPr>
        <w:t xml:space="preserve"> </w:t>
      </w:r>
    </w:p>
    <w:p w:rsidR="00000000" w:rsidRDefault="002A3A8A">
      <w:pPr>
        <w:ind w:left="851" w:hanging="425"/>
        <w:rPr>
          <w:b/>
        </w:rPr>
      </w:pPr>
    </w:p>
    <w:p w:rsidR="00000000" w:rsidRDefault="002A3A8A">
      <w:pPr>
        <w:ind w:left="851" w:hanging="425"/>
        <w:rPr>
          <w:b/>
        </w:rPr>
      </w:pPr>
      <w:r>
        <w:rPr>
          <w:b/>
        </w:rPr>
        <w:t>3.2.</w:t>
      </w:r>
      <w:r>
        <w:rPr>
          <w:b/>
        </w:rPr>
        <w:tab/>
        <w:t>Encadrement du stage</w:t>
      </w:r>
    </w:p>
    <w:p w:rsidR="00000000" w:rsidRDefault="002A3A8A">
      <w:pPr>
        <w:ind w:left="426"/>
        <w:rPr>
          <w:b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850"/>
        <w:gridCol w:w="1701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2A3A8A">
            <w:pPr>
              <w:ind w:left="71"/>
            </w:pPr>
            <w:r>
              <w:t>Dénomination du cours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A3A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Classement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A3A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Code 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2A3A8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Nombre de périodes par groupe d’étudiants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3A8A">
            <w:pPr>
              <w:jc w:val="center"/>
              <w:rPr>
                <w:b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A3A8A">
            <w:r>
              <w:t>Stage : Interprétation en langue des signes belge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A3A8A">
            <w:pPr>
              <w:jc w:val="center"/>
            </w:pPr>
            <w: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A3A8A">
            <w:pPr>
              <w:jc w:val="center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A3A8A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3A8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2A3A8A">
            <w:r>
              <w:t>Total des périodes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A3A8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A3A8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2A3A8A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A3A8A">
            <w:pPr>
              <w:jc w:val="center"/>
            </w:pPr>
          </w:p>
        </w:tc>
      </w:tr>
    </w:tbl>
    <w:p w:rsidR="00000000" w:rsidRDefault="002A3A8A">
      <w:pPr>
        <w:ind w:left="708" w:hanging="708"/>
        <w:rPr>
          <w:sz w:val="22"/>
        </w:rPr>
      </w:pPr>
    </w:p>
    <w:p w:rsidR="00000000" w:rsidRDefault="002A3A8A">
      <w:pPr>
        <w:rPr>
          <w:sz w:val="22"/>
        </w:rPr>
      </w:pPr>
      <w:r>
        <w:rPr>
          <w:sz w:val="22"/>
        </w:rPr>
        <w:br w:type="page"/>
      </w:r>
    </w:p>
    <w:p w:rsidR="00000000" w:rsidRDefault="002A3A8A">
      <w:pPr>
        <w:rPr>
          <w:b/>
          <w:sz w:val="22"/>
        </w:rPr>
      </w:pPr>
      <w:r>
        <w:rPr>
          <w:b/>
          <w:sz w:val="22"/>
        </w:rPr>
        <w:t>4.</w:t>
      </w:r>
      <w:r>
        <w:rPr>
          <w:b/>
          <w:sz w:val="22"/>
        </w:rPr>
        <w:tab/>
        <w:t>PROGRAMME</w:t>
      </w:r>
    </w:p>
    <w:p w:rsidR="00000000" w:rsidRDefault="002A3A8A">
      <w:pPr>
        <w:rPr>
          <w:sz w:val="22"/>
        </w:rPr>
      </w:pPr>
    </w:p>
    <w:p w:rsidR="00000000" w:rsidRDefault="002A3A8A">
      <w:pPr>
        <w:ind w:left="426"/>
        <w:rPr>
          <w:sz w:val="22"/>
        </w:rPr>
      </w:pPr>
      <w:r>
        <w:rPr>
          <w:b/>
          <w:sz w:val="22"/>
        </w:rPr>
        <w:t>4.1.</w:t>
      </w:r>
      <w:r>
        <w:rPr>
          <w:b/>
          <w:sz w:val="22"/>
        </w:rPr>
        <w:tab/>
        <w:t>Programme pour les étudian</w:t>
      </w:r>
      <w:r>
        <w:rPr>
          <w:b/>
          <w:sz w:val="22"/>
        </w:rPr>
        <w:t>ts</w:t>
      </w:r>
    </w:p>
    <w:p w:rsidR="00000000" w:rsidRDefault="002A3A8A">
      <w:pPr>
        <w:rPr>
          <w:sz w:val="22"/>
        </w:rPr>
      </w:pPr>
    </w:p>
    <w:p w:rsidR="00000000" w:rsidRDefault="002A3A8A">
      <w:pPr>
        <w:ind w:left="851"/>
        <w:jc w:val="both"/>
        <w:rPr>
          <w:sz w:val="22"/>
        </w:rPr>
      </w:pPr>
      <w:r>
        <w:rPr>
          <w:sz w:val="22"/>
        </w:rPr>
        <w:t xml:space="preserve">Placé dans différents contextes où s’exerce la profession d’interprète en langue des signes, </w:t>
      </w:r>
      <w:r>
        <w:rPr>
          <w:b/>
          <w:sz w:val="22"/>
        </w:rPr>
        <w:t>l’étudiant sera capable</w:t>
      </w:r>
      <w:r>
        <w:rPr>
          <w:sz w:val="22"/>
        </w:rPr>
        <w:t> :</w:t>
      </w:r>
    </w:p>
    <w:p w:rsidR="00000000" w:rsidRDefault="002A3A8A">
      <w:pPr>
        <w:ind w:left="851"/>
        <w:jc w:val="both"/>
        <w:rPr>
          <w:sz w:val="22"/>
        </w:rPr>
      </w:pPr>
    </w:p>
    <w:p w:rsidR="00000000" w:rsidRDefault="002A3A8A">
      <w:pPr>
        <w:numPr>
          <w:ilvl w:val="0"/>
          <w:numId w:val="4"/>
        </w:numPr>
        <w:tabs>
          <w:tab w:val="clear" w:pos="360"/>
          <w:tab w:val="num" w:pos="1211"/>
        </w:tabs>
        <w:ind w:left="1211"/>
        <w:jc w:val="both"/>
        <w:rPr>
          <w:sz w:val="22"/>
        </w:rPr>
      </w:pPr>
      <w:r>
        <w:rPr>
          <w:sz w:val="22"/>
        </w:rPr>
        <w:t>d’observer le fonctionnement d’un milieu professionnel;</w:t>
      </w:r>
    </w:p>
    <w:p w:rsidR="00000000" w:rsidRDefault="002A3A8A">
      <w:pPr>
        <w:numPr>
          <w:ilvl w:val="0"/>
          <w:numId w:val="4"/>
        </w:numPr>
        <w:tabs>
          <w:tab w:val="clear" w:pos="360"/>
          <w:tab w:val="num" w:pos="1211"/>
        </w:tabs>
        <w:ind w:left="1211"/>
        <w:jc w:val="both"/>
        <w:rPr>
          <w:sz w:val="22"/>
        </w:rPr>
      </w:pPr>
      <w:r>
        <w:rPr>
          <w:sz w:val="22"/>
        </w:rPr>
        <w:t xml:space="preserve">d’analyser les qualités essentielles que doit posséder celui qui est engagé </w:t>
      </w:r>
      <w:r>
        <w:rPr>
          <w:sz w:val="22"/>
        </w:rPr>
        <w:t>dans ce milieu.</w:t>
      </w:r>
    </w:p>
    <w:p w:rsidR="00000000" w:rsidRDefault="002A3A8A">
      <w:pPr>
        <w:rPr>
          <w:sz w:val="22"/>
        </w:rPr>
      </w:pPr>
    </w:p>
    <w:p w:rsidR="00000000" w:rsidRDefault="002A3A8A">
      <w:pPr>
        <w:pStyle w:val="Retraitcorpsdetexte2"/>
      </w:pPr>
      <w:r>
        <w:t>Il pratiquera les différents types d’interprétation (consécutive, simultanée, de liaison et de conférence) en veillant à:</w:t>
      </w:r>
    </w:p>
    <w:p w:rsidR="00000000" w:rsidRDefault="002A3A8A">
      <w:pPr>
        <w:ind w:left="851"/>
        <w:rPr>
          <w:sz w:val="22"/>
        </w:rPr>
      </w:pPr>
    </w:p>
    <w:p w:rsidR="00000000" w:rsidRDefault="002A3A8A">
      <w:pPr>
        <w:numPr>
          <w:ilvl w:val="0"/>
          <w:numId w:val="5"/>
        </w:numPr>
        <w:tabs>
          <w:tab w:val="clear" w:pos="360"/>
          <w:tab w:val="num" w:pos="1211"/>
        </w:tabs>
        <w:ind w:left="1211"/>
        <w:rPr>
          <w:sz w:val="22"/>
        </w:rPr>
      </w:pPr>
      <w:r>
        <w:rPr>
          <w:sz w:val="22"/>
        </w:rPr>
        <w:t>s’adapter aux conditions de travail;</w:t>
      </w:r>
    </w:p>
    <w:p w:rsidR="00000000" w:rsidRDefault="002A3A8A">
      <w:pPr>
        <w:numPr>
          <w:ilvl w:val="0"/>
          <w:numId w:val="5"/>
        </w:numPr>
        <w:tabs>
          <w:tab w:val="clear" w:pos="360"/>
          <w:tab w:val="num" w:pos="1211"/>
        </w:tabs>
        <w:ind w:left="1211"/>
        <w:rPr>
          <w:sz w:val="22"/>
        </w:rPr>
      </w:pPr>
      <w:r>
        <w:rPr>
          <w:sz w:val="22"/>
        </w:rPr>
        <w:t>s’adapter au niveau d’exigences professionnelles;</w:t>
      </w:r>
    </w:p>
    <w:p w:rsidR="00000000" w:rsidRDefault="002A3A8A">
      <w:pPr>
        <w:numPr>
          <w:ilvl w:val="0"/>
          <w:numId w:val="5"/>
        </w:numPr>
        <w:tabs>
          <w:tab w:val="clear" w:pos="360"/>
          <w:tab w:val="num" w:pos="1211"/>
        </w:tabs>
        <w:ind w:left="1211"/>
        <w:rPr>
          <w:sz w:val="22"/>
        </w:rPr>
      </w:pPr>
      <w:r>
        <w:rPr>
          <w:sz w:val="22"/>
        </w:rPr>
        <w:t>s’intégrer au milieu professi</w:t>
      </w:r>
      <w:r>
        <w:rPr>
          <w:sz w:val="22"/>
        </w:rPr>
        <w:t>onnel;</w:t>
      </w:r>
    </w:p>
    <w:p w:rsidR="00000000" w:rsidRDefault="002A3A8A">
      <w:pPr>
        <w:numPr>
          <w:ilvl w:val="0"/>
          <w:numId w:val="5"/>
        </w:numPr>
        <w:tabs>
          <w:tab w:val="clear" w:pos="360"/>
          <w:tab w:val="num" w:pos="1211"/>
        </w:tabs>
        <w:ind w:left="1211"/>
        <w:rPr>
          <w:sz w:val="22"/>
        </w:rPr>
      </w:pPr>
      <w:r>
        <w:rPr>
          <w:sz w:val="22"/>
        </w:rPr>
        <w:t xml:space="preserve">faire preuve </w:t>
      </w:r>
      <w:proofErr w:type="spellStart"/>
      <w:r>
        <w:rPr>
          <w:sz w:val="22"/>
        </w:rPr>
        <w:t>d’auto-contrôle</w:t>
      </w:r>
      <w:proofErr w:type="spellEnd"/>
      <w:r>
        <w:rPr>
          <w:sz w:val="22"/>
        </w:rPr>
        <w:t xml:space="preserve"> et </w:t>
      </w:r>
      <w:proofErr w:type="spellStart"/>
      <w:r>
        <w:rPr>
          <w:sz w:val="22"/>
        </w:rPr>
        <w:t>d’auto-évaluation</w:t>
      </w:r>
      <w:proofErr w:type="spellEnd"/>
      <w:r>
        <w:rPr>
          <w:sz w:val="22"/>
        </w:rPr>
        <w:t>.</w:t>
      </w:r>
    </w:p>
    <w:p w:rsidR="00000000" w:rsidRDefault="002A3A8A">
      <w:pPr>
        <w:ind w:left="851"/>
        <w:rPr>
          <w:sz w:val="22"/>
        </w:rPr>
      </w:pPr>
    </w:p>
    <w:p w:rsidR="00000000" w:rsidRDefault="002A3A8A">
      <w:pPr>
        <w:ind w:left="851"/>
        <w:rPr>
          <w:sz w:val="22"/>
        </w:rPr>
      </w:pPr>
    </w:p>
    <w:p w:rsidR="00000000" w:rsidRDefault="002A3A8A">
      <w:pPr>
        <w:ind w:left="426"/>
        <w:rPr>
          <w:sz w:val="22"/>
        </w:rPr>
      </w:pPr>
      <w:r>
        <w:rPr>
          <w:b/>
          <w:sz w:val="22"/>
        </w:rPr>
        <w:t>4.2.</w:t>
      </w:r>
      <w:r>
        <w:rPr>
          <w:b/>
          <w:sz w:val="22"/>
        </w:rPr>
        <w:tab/>
        <w:t>Programme pour le personnel chargé de l’encadrement</w:t>
      </w:r>
    </w:p>
    <w:p w:rsidR="00000000" w:rsidRDefault="002A3A8A">
      <w:pPr>
        <w:rPr>
          <w:sz w:val="22"/>
        </w:rPr>
      </w:pPr>
    </w:p>
    <w:p w:rsidR="00000000" w:rsidRDefault="002A3A8A">
      <w:pPr>
        <w:ind w:left="851"/>
        <w:jc w:val="both"/>
        <w:rPr>
          <w:sz w:val="22"/>
        </w:rPr>
      </w:pPr>
      <w:r>
        <w:rPr>
          <w:b/>
          <w:sz w:val="22"/>
        </w:rPr>
        <w:t>Le chargé de cours</w:t>
      </w:r>
      <w:r>
        <w:rPr>
          <w:sz w:val="22"/>
        </w:rPr>
        <w:t>:</w:t>
      </w:r>
    </w:p>
    <w:p w:rsidR="00000000" w:rsidRDefault="002A3A8A">
      <w:pPr>
        <w:ind w:left="851"/>
        <w:jc w:val="both"/>
        <w:rPr>
          <w:sz w:val="22"/>
        </w:rPr>
      </w:pPr>
    </w:p>
    <w:p w:rsidR="00000000" w:rsidRDefault="002A3A8A">
      <w:pPr>
        <w:numPr>
          <w:ilvl w:val="0"/>
          <w:numId w:val="6"/>
        </w:numPr>
        <w:tabs>
          <w:tab w:val="clear" w:pos="360"/>
          <w:tab w:val="num" w:pos="1211"/>
        </w:tabs>
        <w:ind w:left="1211"/>
        <w:jc w:val="both"/>
        <w:rPr>
          <w:sz w:val="22"/>
        </w:rPr>
      </w:pPr>
      <w:r>
        <w:rPr>
          <w:sz w:val="22"/>
        </w:rPr>
        <w:t>stimulera et guidera le stagiaire pour la prise de contact permettant l’obtention du stage;</w:t>
      </w:r>
    </w:p>
    <w:p w:rsidR="00000000" w:rsidRDefault="002A3A8A">
      <w:pPr>
        <w:numPr>
          <w:ilvl w:val="0"/>
          <w:numId w:val="6"/>
        </w:numPr>
        <w:tabs>
          <w:tab w:val="clear" w:pos="360"/>
          <w:tab w:val="num" w:pos="1211"/>
        </w:tabs>
        <w:ind w:left="1211"/>
        <w:jc w:val="both"/>
        <w:rPr>
          <w:sz w:val="22"/>
        </w:rPr>
      </w:pPr>
      <w:r>
        <w:rPr>
          <w:sz w:val="22"/>
        </w:rPr>
        <w:t xml:space="preserve">préparera le stagiaire à </w:t>
      </w:r>
      <w:r>
        <w:rPr>
          <w:sz w:val="22"/>
        </w:rPr>
        <w:t>sa rencontre du milieu professionnel;</w:t>
      </w:r>
    </w:p>
    <w:p w:rsidR="00000000" w:rsidRDefault="002A3A8A">
      <w:pPr>
        <w:numPr>
          <w:ilvl w:val="0"/>
          <w:numId w:val="6"/>
        </w:numPr>
        <w:tabs>
          <w:tab w:val="clear" w:pos="360"/>
          <w:tab w:val="num" w:pos="1211"/>
        </w:tabs>
        <w:ind w:left="1211"/>
        <w:jc w:val="both"/>
        <w:rPr>
          <w:sz w:val="22"/>
        </w:rPr>
      </w:pPr>
      <w:r>
        <w:rPr>
          <w:sz w:val="22"/>
        </w:rPr>
        <w:t>incitera le stagiaire à rendre compte de son observation;</w:t>
      </w:r>
    </w:p>
    <w:p w:rsidR="00000000" w:rsidRDefault="002A3A8A">
      <w:pPr>
        <w:numPr>
          <w:ilvl w:val="0"/>
          <w:numId w:val="6"/>
        </w:numPr>
        <w:tabs>
          <w:tab w:val="clear" w:pos="360"/>
          <w:tab w:val="num" w:pos="1211"/>
        </w:tabs>
        <w:ind w:left="1211"/>
        <w:jc w:val="both"/>
        <w:rPr>
          <w:sz w:val="22"/>
        </w:rPr>
      </w:pPr>
      <w:r>
        <w:rPr>
          <w:sz w:val="22"/>
        </w:rPr>
        <w:t>guidera le stagiaire dans son analyse du milieu professionnel observé;</w:t>
      </w:r>
    </w:p>
    <w:p w:rsidR="00000000" w:rsidRDefault="002A3A8A">
      <w:pPr>
        <w:numPr>
          <w:ilvl w:val="0"/>
          <w:numId w:val="6"/>
        </w:numPr>
        <w:tabs>
          <w:tab w:val="clear" w:pos="360"/>
          <w:tab w:val="num" w:pos="1211"/>
        </w:tabs>
        <w:ind w:left="1211"/>
        <w:jc w:val="both"/>
        <w:rPr>
          <w:sz w:val="22"/>
        </w:rPr>
      </w:pPr>
      <w:r>
        <w:rPr>
          <w:sz w:val="22"/>
        </w:rPr>
        <w:t>suscitera l’adaptation et l’intégration du stagiaire au milieu professionnel;</w:t>
      </w:r>
    </w:p>
    <w:p w:rsidR="00000000" w:rsidRDefault="002A3A8A">
      <w:pPr>
        <w:numPr>
          <w:ilvl w:val="0"/>
          <w:numId w:val="6"/>
        </w:numPr>
        <w:tabs>
          <w:tab w:val="clear" w:pos="360"/>
          <w:tab w:val="num" w:pos="1211"/>
        </w:tabs>
        <w:ind w:left="1211"/>
        <w:jc w:val="both"/>
        <w:rPr>
          <w:sz w:val="22"/>
        </w:rPr>
      </w:pPr>
      <w:r>
        <w:rPr>
          <w:sz w:val="22"/>
        </w:rPr>
        <w:t>mettra le s</w:t>
      </w:r>
      <w:r>
        <w:rPr>
          <w:sz w:val="22"/>
        </w:rPr>
        <w:t xml:space="preserve">tagiaire en situation d’exercer sa capacité </w:t>
      </w:r>
      <w:proofErr w:type="spellStart"/>
      <w:r>
        <w:rPr>
          <w:sz w:val="22"/>
        </w:rPr>
        <w:t>d’auto-contrôle</w:t>
      </w:r>
      <w:proofErr w:type="spellEnd"/>
      <w:r>
        <w:rPr>
          <w:sz w:val="22"/>
        </w:rPr>
        <w:t xml:space="preserve"> et </w:t>
      </w:r>
      <w:proofErr w:type="spellStart"/>
      <w:r>
        <w:rPr>
          <w:sz w:val="22"/>
        </w:rPr>
        <w:t>d’auto-évaluation</w:t>
      </w:r>
      <w:proofErr w:type="spellEnd"/>
      <w:r>
        <w:rPr>
          <w:sz w:val="22"/>
        </w:rPr>
        <w:t>;</w:t>
      </w:r>
    </w:p>
    <w:p w:rsidR="00000000" w:rsidRDefault="002A3A8A">
      <w:pPr>
        <w:numPr>
          <w:ilvl w:val="0"/>
          <w:numId w:val="6"/>
        </w:numPr>
        <w:tabs>
          <w:tab w:val="clear" w:pos="360"/>
          <w:tab w:val="num" w:pos="1211"/>
        </w:tabs>
        <w:ind w:left="1211"/>
        <w:jc w:val="both"/>
        <w:rPr>
          <w:sz w:val="22"/>
        </w:rPr>
      </w:pPr>
      <w:r>
        <w:rPr>
          <w:sz w:val="22"/>
        </w:rPr>
        <w:t>aidera le stagiaire à surmonter ses difficultés en pointant ses faiblesses et lacunes et en lui conseillant les moyens appropriés pour y remédier;</w:t>
      </w:r>
    </w:p>
    <w:p w:rsidR="00000000" w:rsidRDefault="002A3A8A">
      <w:pPr>
        <w:numPr>
          <w:ilvl w:val="0"/>
          <w:numId w:val="6"/>
        </w:numPr>
        <w:tabs>
          <w:tab w:val="clear" w:pos="360"/>
          <w:tab w:val="num" w:pos="1211"/>
        </w:tabs>
        <w:ind w:left="1211"/>
        <w:jc w:val="both"/>
        <w:rPr>
          <w:sz w:val="22"/>
        </w:rPr>
      </w:pPr>
      <w:r>
        <w:rPr>
          <w:sz w:val="22"/>
        </w:rPr>
        <w:t>stimulera le stagiaire en v</w:t>
      </w:r>
      <w:r>
        <w:rPr>
          <w:sz w:val="22"/>
        </w:rPr>
        <w:t>alorisant ses capacités.</w:t>
      </w:r>
    </w:p>
    <w:p w:rsidR="00000000" w:rsidRDefault="002A3A8A">
      <w:pPr>
        <w:ind w:left="851"/>
        <w:jc w:val="both"/>
        <w:rPr>
          <w:sz w:val="22"/>
        </w:rPr>
      </w:pPr>
    </w:p>
    <w:p w:rsidR="00000000" w:rsidRDefault="002A3A8A">
      <w:pPr>
        <w:rPr>
          <w:sz w:val="22"/>
        </w:rPr>
      </w:pPr>
      <w:r>
        <w:rPr>
          <w:sz w:val="22"/>
        </w:rPr>
        <w:br w:type="page"/>
      </w:r>
    </w:p>
    <w:p w:rsidR="00000000" w:rsidRDefault="002A3A8A">
      <w:pPr>
        <w:rPr>
          <w:b/>
          <w:sz w:val="22"/>
        </w:rPr>
      </w:pPr>
      <w:r>
        <w:rPr>
          <w:b/>
          <w:sz w:val="22"/>
        </w:rPr>
        <w:t>5.</w:t>
      </w:r>
      <w:r>
        <w:rPr>
          <w:b/>
          <w:sz w:val="22"/>
        </w:rPr>
        <w:tab/>
        <w:t>CAPACITES TERMINALES</w:t>
      </w:r>
    </w:p>
    <w:p w:rsidR="00000000" w:rsidRDefault="002A3A8A">
      <w:pPr>
        <w:rPr>
          <w:sz w:val="22"/>
        </w:rPr>
      </w:pPr>
    </w:p>
    <w:p w:rsidR="00000000" w:rsidRDefault="002A3A8A">
      <w:pPr>
        <w:ind w:left="426"/>
        <w:jc w:val="both"/>
        <w:rPr>
          <w:sz w:val="22"/>
        </w:rPr>
      </w:pPr>
      <w:r>
        <w:rPr>
          <w:b/>
          <w:sz w:val="22"/>
        </w:rPr>
        <w:t>Pour atteindre le seuil de réussite, l’étudiant prouvera qu’il est capable</w:t>
      </w:r>
      <w:r>
        <w:rPr>
          <w:sz w:val="22"/>
        </w:rPr>
        <w:t xml:space="preserve"> d’interpréter (en consécutif, en simultané, en conférence et en liaison) des messages relevant des différents domaines rencontré</w:t>
      </w:r>
      <w:r>
        <w:rPr>
          <w:sz w:val="22"/>
        </w:rPr>
        <w:t xml:space="preserve">s dans le stage et ce, en tenant compte des besoins </w:t>
      </w:r>
      <w:proofErr w:type="spellStart"/>
      <w:r>
        <w:rPr>
          <w:sz w:val="22"/>
        </w:rPr>
        <w:t>communicationnels</w:t>
      </w:r>
      <w:proofErr w:type="spellEnd"/>
      <w:r>
        <w:rPr>
          <w:sz w:val="22"/>
        </w:rPr>
        <w:t xml:space="preserve"> spécifiques des interlocuteurs.</w:t>
      </w:r>
    </w:p>
    <w:p w:rsidR="00000000" w:rsidRDefault="002A3A8A">
      <w:pPr>
        <w:ind w:left="426"/>
        <w:jc w:val="both"/>
        <w:rPr>
          <w:sz w:val="22"/>
        </w:rPr>
      </w:pPr>
    </w:p>
    <w:p w:rsidR="00000000" w:rsidRDefault="002A3A8A">
      <w:pPr>
        <w:ind w:left="426"/>
        <w:jc w:val="both"/>
        <w:rPr>
          <w:sz w:val="22"/>
        </w:rPr>
      </w:pPr>
      <w:r>
        <w:rPr>
          <w:b/>
          <w:sz w:val="22"/>
        </w:rPr>
        <w:t>Il prouvera en outre qu’il est capable</w:t>
      </w:r>
      <w:r>
        <w:rPr>
          <w:sz w:val="22"/>
        </w:rPr>
        <w:t>:</w:t>
      </w:r>
    </w:p>
    <w:p w:rsidR="00000000" w:rsidRDefault="002A3A8A">
      <w:pPr>
        <w:ind w:left="426"/>
        <w:jc w:val="both"/>
        <w:rPr>
          <w:sz w:val="22"/>
        </w:rPr>
      </w:pPr>
    </w:p>
    <w:p w:rsidR="00000000" w:rsidRDefault="002A3A8A">
      <w:pPr>
        <w:numPr>
          <w:ilvl w:val="0"/>
          <w:numId w:val="7"/>
        </w:numPr>
        <w:tabs>
          <w:tab w:val="clear" w:pos="360"/>
          <w:tab w:val="num" w:pos="1211"/>
        </w:tabs>
        <w:ind w:left="1211"/>
        <w:jc w:val="both"/>
        <w:rPr>
          <w:sz w:val="22"/>
        </w:rPr>
      </w:pPr>
      <w:r>
        <w:rPr>
          <w:sz w:val="22"/>
        </w:rPr>
        <w:t>d’identifier les qualités et les capacités auxquelles il a recours dans l’exercice de sa profession;</w:t>
      </w:r>
    </w:p>
    <w:p w:rsidR="00000000" w:rsidRDefault="002A3A8A">
      <w:pPr>
        <w:numPr>
          <w:ilvl w:val="0"/>
          <w:numId w:val="7"/>
        </w:numPr>
        <w:tabs>
          <w:tab w:val="clear" w:pos="360"/>
          <w:tab w:val="num" w:pos="1211"/>
        </w:tabs>
        <w:ind w:left="1211"/>
        <w:jc w:val="both"/>
        <w:rPr>
          <w:sz w:val="22"/>
        </w:rPr>
      </w:pPr>
      <w:r>
        <w:rPr>
          <w:sz w:val="22"/>
        </w:rPr>
        <w:t xml:space="preserve">d’utiliser </w:t>
      </w:r>
      <w:r>
        <w:rPr>
          <w:sz w:val="22"/>
        </w:rPr>
        <w:t>ses observations et son analyse pour améliorer sa propre façon d’interpréter.</w:t>
      </w:r>
    </w:p>
    <w:p w:rsidR="00000000" w:rsidRDefault="002A3A8A">
      <w:pPr>
        <w:ind w:left="851"/>
        <w:jc w:val="both"/>
        <w:rPr>
          <w:sz w:val="22"/>
        </w:rPr>
      </w:pPr>
    </w:p>
    <w:p w:rsidR="00000000" w:rsidRDefault="002A3A8A">
      <w:pPr>
        <w:ind w:left="851"/>
        <w:rPr>
          <w:sz w:val="22"/>
        </w:rPr>
      </w:pPr>
    </w:p>
    <w:p w:rsidR="00000000" w:rsidRDefault="002A3A8A">
      <w:pPr>
        <w:ind w:left="426"/>
        <w:rPr>
          <w:sz w:val="22"/>
        </w:rPr>
      </w:pPr>
      <w:r>
        <w:rPr>
          <w:b/>
          <w:sz w:val="22"/>
        </w:rPr>
        <w:t>Pour la détermination du degré de maîtrise,</w:t>
      </w:r>
      <w:r>
        <w:rPr>
          <w:sz w:val="22"/>
        </w:rPr>
        <w:t xml:space="preserve"> il sera tenu compte de:</w:t>
      </w:r>
    </w:p>
    <w:p w:rsidR="00000000" w:rsidRDefault="002A3A8A">
      <w:pPr>
        <w:ind w:left="426"/>
        <w:rPr>
          <w:sz w:val="22"/>
        </w:rPr>
      </w:pPr>
    </w:p>
    <w:p w:rsidR="00000000" w:rsidRDefault="002A3A8A">
      <w:pPr>
        <w:numPr>
          <w:ilvl w:val="0"/>
          <w:numId w:val="8"/>
        </w:numPr>
        <w:tabs>
          <w:tab w:val="clear" w:pos="360"/>
          <w:tab w:val="num" w:pos="1211"/>
        </w:tabs>
        <w:ind w:left="1211"/>
        <w:rPr>
          <w:sz w:val="22"/>
        </w:rPr>
      </w:pPr>
      <w:r>
        <w:rPr>
          <w:sz w:val="22"/>
        </w:rPr>
        <w:t>la capacité d’observation;</w:t>
      </w:r>
    </w:p>
    <w:p w:rsidR="00000000" w:rsidRDefault="002A3A8A">
      <w:pPr>
        <w:numPr>
          <w:ilvl w:val="0"/>
          <w:numId w:val="8"/>
        </w:numPr>
        <w:tabs>
          <w:tab w:val="clear" w:pos="360"/>
          <w:tab w:val="num" w:pos="1211"/>
        </w:tabs>
        <w:ind w:left="1211"/>
        <w:rPr>
          <w:sz w:val="22"/>
        </w:rPr>
      </w:pPr>
      <w:r>
        <w:rPr>
          <w:sz w:val="22"/>
        </w:rPr>
        <w:t>la capacité d’analyse;</w:t>
      </w:r>
    </w:p>
    <w:p w:rsidR="00000000" w:rsidRDefault="002A3A8A">
      <w:pPr>
        <w:numPr>
          <w:ilvl w:val="0"/>
          <w:numId w:val="8"/>
        </w:numPr>
        <w:tabs>
          <w:tab w:val="clear" w:pos="360"/>
          <w:tab w:val="num" w:pos="1211"/>
        </w:tabs>
        <w:ind w:left="1211"/>
        <w:rPr>
          <w:sz w:val="22"/>
        </w:rPr>
      </w:pPr>
      <w:r>
        <w:rPr>
          <w:sz w:val="22"/>
        </w:rPr>
        <w:t xml:space="preserve">la capacité </w:t>
      </w:r>
      <w:proofErr w:type="spellStart"/>
      <w:r>
        <w:rPr>
          <w:sz w:val="22"/>
        </w:rPr>
        <w:t>d’auto-évaluation</w:t>
      </w:r>
      <w:proofErr w:type="spellEnd"/>
      <w:r>
        <w:rPr>
          <w:sz w:val="22"/>
        </w:rPr>
        <w:t>;</w:t>
      </w:r>
    </w:p>
    <w:p w:rsidR="00000000" w:rsidRDefault="002A3A8A">
      <w:pPr>
        <w:numPr>
          <w:ilvl w:val="0"/>
          <w:numId w:val="8"/>
        </w:numPr>
        <w:tabs>
          <w:tab w:val="clear" w:pos="360"/>
          <w:tab w:val="num" w:pos="1211"/>
        </w:tabs>
        <w:ind w:left="1211"/>
        <w:rPr>
          <w:sz w:val="22"/>
        </w:rPr>
      </w:pPr>
      <w:r>
        <w:rPr>
          <w:sz w:val="22"/>
        </w:rPr>
        <w:t>la capacité d’adaptation;</w:t>
      </w:r>
    </w:p>
    <w:p w:rsidR="00000000" w:rsidRDefault="002A3A8A">
      <w:pPr>
        <w:numPr>
          <w:ilvl w:val="0"/>
          <w:numId w:val="8"/>
        </w:numPr>
        <w:tabs>
          <w:tab w:val="clear" w:pos="360"/>
          <w:tab w:val="num" w:pos="1211"/>
        </w:tabs>
        <w:ind w:left="1211"/>
        <w:rPr>
          <w:sz w:val="22"/>
        </w:rPr>
      </w:pPr>
      <w:r>
        <w:rPr>
          <w:sz w:val="22"/>
        </w:rPr>
        <w:t>la qualité de l’interprétation.</w:t>
      </w:r>
    </w:p>
    <w:p w:rsidR="00000000" w:rsidRDefault="002A3A8A">
      <w:pPr>
        <w:ind w:left="426"/>
        <w:rPr>
          <w:sz w:val="22"/>
        </w:rPr>
      </w:pPr>
    </w:p>
    <w:p w:rsidR="00000000" w:rsidRDefault="002A3A8A">
      <w:pPr>
        <w:ind w:left="426"/>
        <w:rPr>
          <w:sz w:val="22"/>
        </w:rPr>
      </w:pPr>
      <w:r>
        <w:rPr>
          <w:sz w:val="22"/>
        </w:rPr>
        <w:br w:type="page"/>
      </w:r>
    </w:p>
    <w:p w:rsidR="00000000" w:rsidRDefault="002A3A8A">
      <w:pPr>
        <w:rPr>
          <w:b/>
          <w:sz w:val="22"/>
        </w:rPr>
      </w:pPr>
      <w:r>
        <w:rPr>
          <w:b/>
          <w:sz w:val="22"/>
        </w:rPr>
        <w:t>6.</w:t>
      </w:r>
      <w:r>
        <w:rPr>
          <w:b/>
          <w:sz w:val="22"/>
        </w:rPr>
        <w:tab/>
        <w:t>CHARGE(S) DE COURS</w:t>
      </w:r>
    </w:p>
    <w:p w:rsidR="00000000" w:rsidRDefault="002A3A8A">
      <w:pPr>
        <w:rPr>
          <w:sz w:val="22"/>
        </w:rPr>
      </w:pPr>
    </w:p>
    <w:p w:rsidR="00000000" w:rsidRDefault="002A3A8A">
      <w:pPr>
        <w:ind w:left="426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 w:rsidR="00000000" w:rsidRDefault="002A3A8A">
      <w:pPr>
        <w:ind w:left="426"/>
        <w:jc w:val="both"/>
        <w:rPr>
          <w:sz w:val="22"/>
        </w:rPr>
      </w:pPr>
      <w:r>
        <w:rPr>
          <w:sz w:val="22"/>
        </w:rPr>
        <w:t>L’expert sera choisi sur une liste établie par le Comité de suivi.</w:t>
      </w:r>
    </w:p>
    <w:p w:rsidR="00000000" w:rsidRDefault="002A3A8A"/>
    <w:p w:rsidR="00000000" w:rsidRDefault="002A3A8A"/>
    <w:p w:rsidR="00000000" w:rsidRDefault="002A3A8A">
      <w:pPr>
        <w:ind w:left="426" w:hanging="426"/>
        <w:jc w:val="both"/>
        <w:rPr>
          <w:b/>
          <w:sz w:val="22"/>
        </w:rPr>
      </w:pPr>
      <w:r>
        <w:rPr>
          <w:b/>
          <w:sz w:val="22"/>
        </w:rPr>
        <w:t>7.</w:t>
      </w:r>
      <w:r>
        <w:rPr>
          <w:b/>
          <w:sz w:val="22"/>
        </w:rPr>
        <w:tab/>
      </w:r>
      <w:r>
        <w:rPr>
          <w:b/>
          <w:caps/>
          <w:sz w:val="22"/>
        </w:rPr>
        <w:t>Constitution des groupes ou regroupement</w:t>
      </w:r>
    </w:p>
    <w:p w:rsidR="00000000" w:rsidRDefault="002A3A8A">
      <w:pPr>
        <w:ind w:left="426" w:hanging="426"/>
        <w:jc w:val="both"/>
        <w:rPr>
          <w:b/>
          <w:sz w:val="22"/>
        </w:rPr>
      </w:pPr>
    </w:p>
    <w:p w:rsidR="00000000" w:rsidRDefault="002A3A8A">
      <w:pPr>
        <w:ind w:left="426"/>
        <w:jc w:val="both"/>
      </w:pPr>
      <w:r>
        <w:rPr>
          <w:sz w:val="22"/>
        </w:rPr>
        <w:t>Aucune recommandation particuliè</w:t>
      </w:r>
      <w:r>
        <w:rPr>
          <w:sz w:val="22"/>
        </w:rPr>
        <w:t>re.</w:t>
      </w:r>
    </w:p>
    <w:p w:rsidR="002A3A8A" w:rsidRDefault="002A3A8A"/>
    <w:sectPr w:rsidR="002A3A8A">
      <w:type w:val="continuous"/>
      <w:pgSz w:w="11907" w:h="16840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A8A" w:rsidRDefault="002A3A8A">
      <w:r>
        <w:separator/>
      </w:r>
    </w:p>
  </w:endnote>
  <w:endnote w:type="continuationSeparator" w:id="0">
    <w:p w:rsidR="002A3A8A" w:rsidRDefault="002A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A8A" w:rsidRDefault="002A3A8A">
      <w:r>
        <w:separator/>
      </w:r>
    </w:p>
  </w:footnote>
  <w:footnote w:type="continuationSeparator" w:id="0">
    <w:p w:rsidR="002A3A8A" w:rsidRDefault="002A3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EE0618B"/>
    <w:multiLevelType w:val="singleLevel"/>
    <w:tmpl w:val="AEF46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AA3E7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2FC4AA5"/>
    <w:multiLevelType w:val="singleLevel"/>
    <w:tmpl w:val="AEF46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4186E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9F142ED"/>
    <w:multiLevelType w:val="singleLevel"/>
    <w:tmpl w:val="AEF46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6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NotTrackMoves/>
  <w:defaultTabStop w:val="425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A8A"/>
    <w:rsid w:val="002A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0D2198-2370-437F-89CA-4353436F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caps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Pr>
      <w:rFonts w:ascii="MS Serif" w:hAnsi="MS Serif"/>
      <w:noProof/>
    </w:r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ind w:left="426"/>
    </w:pPr>
    <w:rPr>
      <w:sz w:val="22"/>
    </w:rPr>
  </w:style>
  <w:style w:type="paragraph" w:styleId="Retraitcorpsdetexte2">
    <w:name w:val="Body Text Indent 2"/>
    <w:basedOn w:val="Normal"/>
    <w:semiHidden/>
    <w:pPr>
      <w:ind w:left="85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romsoc\Donatienne%20Van%20Kerckhove\Dossier%20&#224;%20traiter\8DEF-S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8DEF-ST</Template>
  <TotalTime>0</TotalTime>
  <Pages>6</Pages>
  <Words>827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pédagogique stage - définitif</vt:lpstr>
    </vt:vector>
  </TitlesOfParts>
  <Company>CFWB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pédagogique stage - définitif</dc:title>
  <dc:subject/>
  <dc:creator>Donatienne Van Kerckhove</dc:creator>
  <cp:keywords/>
  <dc:description/>
  <cp:lastModifiedBy>Donatienne Van Kerckhove</cp:lastModifiedBy>
  <cp:revision>1</cp:revision>
  <cp:lastPrinted>1999-08-23T12:48:00Z</cp:lastPrinted>
  <dcterms:created xsi:type="dcterms:W3CDTF">2018-06-29T12:02:00Z</dcterms:created>
  <dcterms:modified xsi:type="dcterms:W3CDTF">2018-06-29T12:02:00Z</dcterms:modified>
</cp:coreProperties>
</file>