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9A" w:rsidRDefault="00A1239A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A1239A" w:rsidRDefault="00652D0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A1239A" w:rsidRDefault="00A1239A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A1239A" w:rsidRDefault="00652D0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ADMINISTRATION GENERALE DE L’ENSEIGNEMENT</w:t>
      </w:r>
    </w:p>
    <w:p w:rsidR="00A1239A" w:rsidRDefault="00A1239A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A1239A" w:rsidRDefault="00652D0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 w:rsidR="00A1239A" w:rsidRDefault="00A1239A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A1239A" w:rsidRDefault="00A1239A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A1239A" w:rsidRDefault="00A1239A"/>
    <w:p w:rsidR="00A1239A" w:rsidRDefault="00A1239A">
      <w:pPr>
        <w:rPr>
          <w:sz w:val="22"/>
          <w:szCs w:val="22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A1239A">
      <w:pPr>
        <w:rPr>
          <w:color w:val="000000"/>
        </w:rPr>
      </w:pPr>
    </w:p>
    <w:p w:rsidR="00A1239A" w:rsidRDefault="00652D04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DOSSIER PEDAGOGIQUE</w:t>
      </w: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652D04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UNITE D’ENSEIGNEMENT</w:t>
      </w: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652D04">
      <w:pPr>
        <w:ind w:left="340"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aps/>
          <w:color w:val="000000"/>
          <w:sz w:val="32"/>
          <w:szCs w:val="32"/>
        </w:rPr>
        <w:t xml:space="preserve">ACTIVITES PROFESSIONNELLES DE FORMATION : </w:t>
      </w:r>
    </w:p>
    <w:p w:rsidR="00A1239A" w:rsidRDefault="00652D04">
      <w:pPr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aps/>
          <w:color w:val="000000"/>
          <w:sz w:val="28"/>
          <w:szCs w:val="28"/>
        </w:rPr>
        <w:t>BACHELIER DE Spécialisation : psychopathologie</w:t>
      </w:r>
      <w:r>
        <w:rPr>
          <w:b/>
          <w:bCs/>
          <w:caps/>
          <w:color w:val="000000"/>
          <w:sz w:val="32"/>
          <w:szCs w:val="32"/>
        </w:rPr>
        <w:t xml:space="preserve"> – </w:t>
      </w:r>
    </w:p>
    <w:p w:rsidR="00A1239A" w:rsidRDefault="00652D04">
      <w:pPr>
        <w:ind w:left="340"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NIVEAU 2</w:t>
      </w: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652D04">
      <w:pPr>
        <w:pStyle w:val="Texte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ENSEIGNEMENT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SUPERIEUR DE TYPE COURT</w:t>
      </w:r>
    </w:p>
    <w:p w:rsidR="00A1239A" w:rsidRDefault="00652D04">
      <w:pPr>
        <w:pStyle w:val="Texte"/>
        <w:jc w:val="center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DOMAINE : SCIENCES DE LA SANTE PUBLIQUE</w:t>
      </w: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tbl>
      <w:tblPr>
        <w:tblW w:w="0" w:type="auto"/>
        <w:tblInd w:w="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04"/>
      </w:tblGrid>
      <w:tr w:rsidR="00A1239A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39A" w:rsidRDefault="00652D04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CODE : 94 90 07 U34 D2</w:t>
            </w:r>
          </w:p>
        </w:tc>
      </w:tr>
      <w:tr w:rsidR="00A1239A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39A" w:rsidRDefault="00652D04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CODE DU DOMAINE DE FORMATION : 804</w:t>
            </w:r>
          </w:p>
        </w:tc>
      </w:tr>
      <w:tr w:rsidR="00A1239A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39A" w:rsidRDefault="00652D04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DOCUMENT DE REFERENCE INTER -RÉSEAUX</w:t>
            </w:r>
          </w:p>
        </w:tc>
      </w:tr>
    </w:tbl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A1239A">
      <w:pPr>
        <w:rPr>
          <w:color w:val="000000"/>
          <w:sz w:val="22"/>
          <w:szCs w:val="22"/>
        </w:rPr>
      </w:pPr>
    </w:p>
    <w:p w:rsidR="00A1239A" w:rsidRDefault="00652D04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Approbation du Gouvernement de la Communauté française du 20 décembre 2019</w:t>
      </w:r>
      <w:r>
        <w:rPr>
          <w:b/>
          <w:noProof/>
          <w:color w:val="000000"/>
          <w:sz w:val="22"/>
          <w:szCs w:val="22"/>
        </w:rPr>
        <w:t>,</w:t>
      </w:r>
    </w:p>
    <w:p w:rsidR="00A1239A" w:rsidRDefault="00652D04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sur avis conforme du Conseil général</w:t>
      </w:r>
    </w:p>
    <w:p w:rsidR="00A1239A" w:rsidRDefault="00652D04">
      <w:pPr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br w:type="page"/>
      </w:r>
    </w:p>
    <w:tbl>
      <w:tblPr>
        <w:tblW w:w="9437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7"/>
      </w:tblGrid>
      <w:tr w:rsidR="00A1239A">
        <w:trPr>
          <w:trHeight w:val="1698"/>
        </w:trPr>
        <w:tc>
          <w:tcPr>
            <w:tcW w:w="9437" w:type="dxa"/>
          </w:tcPr>
          <w:p w:rsidR="00A1239A" w:rsidRDefault="00652D04">
            <w:pPr>
              <w:spacing w:before="120"/>
              <w:ind w:left="340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lastRenderedPageBreak/>
              <w:t>ACTIVITES PROFESSIONNELLES DE FORMATION :</w:t>
            </w:r>
          </w:p>
          <w:p w:rsidR="00A1239A" w:rsidRDefault="00652D04">
            <w:pPr>
              <w:ind w:left="340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bachelier de Spécialisation : psychopathologie -</w:t>
            </w:r>
          </w:p>
          <w:p w:rsidR="00A1239A" w:rsidRDefault="00652D04">
            <w:pPr>
              <w:ind w:left="340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 xml:space="preserve">nIVEAU 2 </w:t>
            </w:r>
          </w:p>
          <w:p w:rsidR="00A1239A" w:rsidRDefault="00652D04">
            <w:pPr>
              <w:pStyle w:val="Texte"/>
              <w:spacing w:before="120" w:after="120"/>
              <w:jc w:val="center"/>
              <w:rPr>
                <w:rFonts w:ascii="Times New Roman" w:hAnsi="Times New Roman"/>
                <w:b/>
                <w:caps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ENSEIGNEMENT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SUPERIEUR DE TYPE COURT</w:t>
            </w:r>
          </w:p>
        </w:tc>
      </w:tr>
    </w:tbl>
    <w:p w:rsidR="00A1239A" w:rsidRDefault="00A1239A">
      <w:pPr>
        <w:rPr>
          <w:noProof/>
          <w:color w:val="000000"/>
        </w:rPr>
      </w:pPr>
    </w:p>
    <w:p w:rsidR="00A1239A" w:rsidRDefault="00A1239A">
      <w:pPr>
        <w:rPr>
          <w:noProof/>
          <w:color w:val="000000"/>
        </w:rPr>
      </w:pPr>
    </w:p>
    <w:p w:rsidR="00A1239A" w:rsidRDefault="00A1239A">
      <w:pPr>
        <w:rPr>
          <w:noProof/>
          <w:color w:val="000000"/>
        </w:rPr>
      </w:pPr>
    </w:p>
    <w:p w:rsidR="00A1239A" w:rsidRDefault="00652D04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FINALITES DE L’UNITE D’ENSEIGNEMENT</w:t>
      </w:r>
    </w:p>
    <w:p w:rsidR="00A1239A" w:rsidRDefault="00A1239A">
      <w:pPr>
        <w:jc w:val="both"/>
        <w:rPr>
          <w:noProof/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générales</w:t>
      </w:r>
    </w:p>
    <w:p w:rsidR="00A1239A" w:rsidRDefault="00652D04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Conformément à l’article 7 du décret de la Communauté française du 16 avril 1991, cette unité d’enseignement doit :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concourir à l’épanouissement individuel en promouvant </w:t>
      </w:r>
      <w:r>
        <w:rPr>
          <w:noProof/>
          <w:color w:val="000000"/>
          <w:sz w:val="22"/>
          <w:szCs w:val="22"/>
        </w:rPr>
        <w:t>une meilleure insertion professionnelle, sociale, culturelle et scolaire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A1239A" w:rsidRDefault="00A1239A">
      <w:pPr>
        <w:jc w:val="both"/>
        <w:rPr>
          <w:noProof/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1.2.</w:t>
      </w:r>
      <w:r>
        <w:rPr>
          <w:b/>
          <w:color w:val="000000"/>
          <w:sz w:val="22"/>
          <w:szCs w:val="22"/>
        </w:rPr>
        <w:tab/>
        <w:t>Finalités particulières</w:t>
      </w:r>
    </w:p>
    <w:p w:rsidR="00A1239A" w:rsidRDefault="00652D04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Cette unité d’enseignement vise à permettre à l’étudiant, confronté dans sa pratique à des personnes qui souffrent de difficultés d’ordre psychopathologique, de mettre en œuvre les acquis de la formation, de les évaluer en vue </w:t>
      </w:r>
      <w:r>
        <w:rPr>
          <w:noProof/>
          <w:color w:val="000000"/>
          <w:sz w:val="22"/>
          <w:szCs w:val="22"/>
        </w:rPr>
        <w:t>de l’analyse de son évolution professionnelle et de son positionnement au sein du milieu professionnel.</w:t>
      </w:r>
    </w:p>
    <w:p w:rsidR="00A1239A" w:rsidRDefault="00A1239A">
      <w:pPr>
        <w:spacing w:before="120"/>
        <w:jc w:val="both"/>
        <w:rPr>
          <w:color w:val="000000"/>
          <w:sz w:val="22"/>
          <w:szCs w:val="22"/>
        </w:rPr>
      </w:pP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CAPACITES PREALABLES REQUISES</w:t>
      </w: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Capacités</w:t>
      </w:r>
    </w:p>
    <w:p w:rsidR="00A1239A" w:rsidRDefault="00652D04">
      <w:pPr>
        <w:spacing w:before="120" w:after="120"/>
        <w:ind w:left="900"/>
        <w:jc w:val="both"/>
        <w:rPr>
          <w:i/>
          <w:iCs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sa fonction et de son rôle, au travers d’une ou plusieurs mises en situation et/ou d’analyse de situations professionnelles</w:t>
      </w:r>
      <w:r>
        <w:rPr>
          <w:i/>
          <w:iCs/>
          <w:sz w:val="22"/>
          <w:szCs w:val="22"/>
        </w:rPr>
        <w:t xml:space="preserve"> relevant du domaine de la psychopathologie,</w:t>
      </w:r>
    </w:p>
    <w:p w:rsidR="00A1239A" w:rsidRDefault="00652D04">
      <w:pPr>
        <w:ind w:firstLine="900"/>
        <w:jc w:val="both"/>
        <w:rPr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au</w:t>
      </w:r>
      <w:proofErr w:type="gramEnd"/>
      <w:r>
        <w:rPr>
          <w:i/>
          <w:color w:val="000000"/>
          <w:sz w:val="22"/>
          <w:szCs w:val="22"/>
        </w:rPr>
        <w:t xml:space="preserve"> travers d’épreuves écrites ou orales</w:t>
      </w:r>
      <w:r>
        <w:rPr>
          <w:color w:val="000000"/>
          <w:sz w:val="22"/>
          <w:szCs w:val="22"/>
        </w:rPr>
        <w:t>,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énoncer les caractéristiques des </w:t>
      </w:r>
      <w:r>
        <w:rPr>
          <w:noProof/>
          <w:color w:val="000000"/>
          <w:sz w:val="22"/>
          <w:szCs w:val="22"/>
        </w:rPr>
        <w:t>grands courants de pensée en les situant dans leur contexte sociétal, culturel et historique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présenter l’apport d’un auteur choisi parmi ceux abordés dans la formation, à l’un de ces courants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repérer, dans des situations cliniques, les notions essentie</w:t>
      </w:r>
      <w:r>
        <w:rPr>
          <w:noProof/>
          <w:color w:val="000000"/>
          <w:sz w:val="22"/>
          <w:szCs w:val="22"/>
        </w:rPr>
        <w:t>lles vues aux cours y compris celle du double diagnostic.</w:t>
      </w:r>
    </w:p>
    <w:p w:rsidR="00A1239A" w:rsidRDefault="00A1239A">
      <w:pPr>
        <w:spacing w:before="120" w:after="120"/>
        <w:ind w:left="357"/>
        <w:jc w:val="both"/>
        <w:rPr>
          <w:i/>
          <w:noProof/>
          <w:color w:val="000000"/>
          <w:sz w:val="22"/>
          <w:szCs w:val="22"/>
        </w:rPr>
      </w:pPr>
    </w:p>
    <w:p w:rsidR="00A1239A" w:rsidRDefault="00652D04">
      <w:pPr>
        <w:spacing w:before="120" w:after="120"/>
        <w:ind w:left="900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face</w:t>
      </w:r>
      <w:proofErr w:type="gramEnd"/>
      <w:r>
        <w:rPr>
          <w:i/>
          <w:sz w:val="22"/>
          <w:szCs w:val="22"/>
        </w:rPr>
        <w:t xml:space="preserve"> à une situation relevant du domaine de la psychopathologie, dans le cadre du travail en interdisciplinarité, dans le respect du prescrit légal en vigueur et de la déontologie propre à sa fonct</w:t>
      </w:r>
      <w:r>
        <w:rPr>
          <w:i/>
          <w:sz w:val="22"/>
          <w:szCs w:val="22"/>
        </w:rPr>
        <w:t>ion et au secteur :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rédiger une synthèse de type professionnel de cette situation reprenant le projet et le contexte personnels du (des) bénéficiaire(s), le projet pédagogique et/ou thérapeutique </w:t>
      </w:r>
      <w:r>
        <w:rPr>
          <w:noProof/>
          <w:color w:val="000000"/>
          <w:sz w:val="22"/>
          <w:szCs w:val="22"/>
        </w:rPr>
        <w:lastRenderedPageBreak/>
        <w:t xml:space="preserve">du bénéficiaire, le contexte institutionnel, les différents </w:t>
      </w:r>
      <w:r>
        <w:rPr>
          <w:noProof/>
          <w:color w:val="000000"/>
          <w:sz w:val="22"/>
          <w:szCs w:val="22"/>
        </w:rPr>
        <w:t>acteurs qui interviennent autour du bénéficiaire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poser des hypothèses d’analyse et de travail ; 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positionner ses hypothèses d’analyse et de travail au regard de celles des autres intervenants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étayer ses hypothèses d’analyse et de travail en lien avec l</w:t>
      </w:r>
      <w:r>
        <w:rPr>
          <w:noProof/>
          <w:color w:val="000000"/>
          <w:sz w:val="22"/>
          <w:szCs w:val="22"/>
        </w:rPr>
        <w:t>es référents théoriques opportuns.</w:t>
      </w:r>
    </w:p>
    <w:p w:rsidR="00A1239A" w:rsidRDefault="00A1239A">
      <w:pPr>
        <w:spacing w:before="120"/>
        <w:ind w:left="900" w:right="-1"/>
        <w:jc w:val="both"/>
        <w:rPr>
          <w:noProof/>
          <w:color w:val="000000"/>
          <w:sz w:val="22"/>
          <w:szCs w:val="22"/>
        </w:rPr>
      </w:pPr>
    </w:p>
    <w:p w:rsidR="00A1239A" w:rsidRDefault="00652D04">
      <w:pPr>
        <w:spacing w:before="120" w:after="120"/>
        <w:ind w:left="900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sa fonction et de son rôle, au travers d’une ou plusieurs mises en situation et/ou d’analyse de situations professionnelles relevant du domaine de la psychopathologie,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décrire les différents éléments de </w:t>
      </w:r>
      <w:r>
        <w:rPr>
          <w:noProof/>
          <w:color w:val="000000"/>
          <w:sz w:val="22"/>
          <w:szCs w:val="22"/>
        </w:rPr>
        <w:t>l’entretien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caractériser et distinguer différentes formes d’entretien vues au cours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identifier et analyser les éléments de base constitutifs d’un entretien (variables, modalités, types d’écoute, observation, prise de parole…)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situer sa fonction, les </w:t>
      </w:r>
      <w:r>
        <w:rPr>
          <w:noProof/>
          <w:color w:val="000000"/>
          <w:sz w:val="22"/>
          <w:szCs w:val="22"/>
        </w:rPr>
        <w:t>limites de celle-ci ainsi que son rôle au cours des entretiens dans le contexte du travail en équipe.</w:t>
      </w:r>
    </w:p>
    <w:p w:rsidR="00A1239A" w:rsidRDefault="00A1239A">
      <w:pPr>
        <w:spacing w:before="120"/>
        <w:ind w:right="-1"/>
        <w:jc w:val="both"/>
        <w:rPr>
          <w:noProof/>
          <w:color w:val="000000"/>
          <w:sz w:val="22"/>
          <w:szCs w:val="22"/>
        </w:rPr>
      </w:pPr>
    </w:p>
    <w:p w:rsidR="00A1239A" w:rsidRDefault="00A1239A">
      <w:pPr>
        <w:spacing w:before="120"/>
        <w:ind w:right="-1"/>
        <w:jc w:val="both"/>
        <w:rPr>
          <w:noProof/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Titre pouvant en tenir lieu </w:t>
      </w:r>
    </w:p>
    <w:p w:rsidR="00A1239A" w:rsidRDefault="00652D04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Attestations de réussite des unités d’enseignement </w:t>
      </w:r>
      <w:r>
        <w:rPr>
          <w:sz w:val="22"/>
          <w:szCs w:val="22"/>
        </w:rPr>
        <w:t>suivantes</w:t>
      </w:r>
      <w:r>
        <w:rPr>
          <w:noProof/>
          <w:color w:val="000000"/>
          <w:sz w:val="22"/>
          <w:szCs w:val="22"/>
        </w:rPr>
        <w:t> :</w:t>
      </w:r>
    </w:p>
    <w:p w:rsidR="00A1239A" w:rsidRDefault="00652D04">
      <w:pPr>
        <w:pStyle w:val="Paragraphedeliste"/>
        <w:numPr>
          <w:ilvl w:val="0"/>
          <w:numId w:val="18"/>
        </w:numPr>
        <w:spacing w:before="120"/>
        <w:ind w:right="-1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« Eléments de base de psychologie et de psychopathologie », </w:t>
      </w:r>
      <w:r>
        <w:rPr>
          <w:noProof/>
          <w:color w:val="000000"/>
          <w:sz w:val="22"/>
          <w:szCs w:val="22"/>
        </w:rPr>
        <w:t xml:space="preserve">code </w:t>
      </w:r>
      <w:r>
        <w:rPr>
          <w:color w:val="000000"/>
          <w:sz w:val="22"/>
          <w:szCs w:val="22"/>
        </w:rPr>
        <w:t>9490 01 U34 D2</w:t>
      </w:r>
    </w:p>
    <w:p w:rsidR="00A1239A" w:rsidRDefault="00652D04">
      <w:pPr>
        <w:pStyle w:val="Paragraphedeliste"/>
        <w:numPr>
          <w:ilvl w:val="0"/>
          <w:numId w:val="18"/>
        </w:numPr>
        <w:spacing w:before="120"/>
        <w:ind w:right="-1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« Activités professionnelles de formation : Bachelier de spécialisation : psychopathologie -Niveau 1 », code </w:t>
      </w:r>
      <w:r>
        <w:rPr>
          <w:color w:val="000000"/>
          <w:sz w:val="22"/>
          <w:szCs w:val="22"/>
        </w:rPr>
        <w:t>9490 02 U34 D2</w:t>
      </w:r>
    </w:p>
    <w:p w:rsidR="00A1239A" w:rsidRDefault="00652D04">
      <w:pPr>
        <w:pStyle w:val="Paragraphedeliste"/>
        <w:numPr>
          <w:ilvl w:val="0"/>
          <w:numId w:val="18"/>
        </w:numPr>
        <w:spacing w:before="120"/>
        <w:ind w:right="42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« Initiation à l’entretien – Niveau 1 », </w:t>
      </w:r>
      <w:r>
        <w:rPr>
          <w:sz w:val="22"/>
          <w:szCs w:val="22"/>
        </w:rPr>
        <w:t xml:space="preserve">code </w:t>
      </w:r>
      <w:r>
        <w:rPr>
          <w:color w:val="000000"/>
          <w:sz w:val="22"/>
          <w:szCs w:val="22"/>
        </w:rPr>
        <w:t>9412</w:t>
      </w:r>
      <w:bookmarkStart w:id="0" w:name="_GoBack"/>
      <w:bookmarkEnd w:id="0"/>
      <w:r>
        <w:rPr>
          <w:color w:val="000000"/>
          <w:sz w:val="22"/>
          <w:szCs w:val="22"/>
        </w:rPr>
        <w:t xml:space="preserve"> 03 U35 D2.</w:t>
      </w: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ACQUIS D’APPRENTISSAGE</w:t>
      </w:r>
    </w:p>
    <w:p w:rsidR="00A1239A" w:rsidRDefault="00A1239A">
      <w:pPr>
        <w:ind w:left="426"/>
        <w:jc w:val="both"/>
        <w:rPr>
          <w:color w:val="000000"/>
          <w:sz w:val="22"/>
          <w:szCs w:val="22"/>
        </w:rPr>
      </w:pPr>
    </w:p>
    <w:p w:rsidR="00A1239A" w:rsidRDefault="00652D04">
      <w:pPr>
        <w:spacing w:before="120" w:after="120"/>
        <w:ind w:left="714" w:firstLine="6"/>
        <w:jc w:val="both"/>
        <w:rPr>
          <w:b/>
          <w:noProof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atteindre le seuil</w:t>
      </w:r>
      <w:r>
        <w:rPr>
          <w:b/>
          <w:color w:val="000000"/>
          <w:sz w:val="22"/>
          <w:szCs w:val="22"/>
        </w:rPr>
        <w:t xml:space="preserve"> de réussite,</w:t>
      </w:r>
      <w:r>
        <w:rPr>
          <w:b/>
          <w:noProof/>
          <w:color w:val="000000"/>
          <w:sz w:val="22"/>
          <w:szCs w:val="22"/>
        </w:rPr>
        <w:t xml:space="preserve"> l’étudiant sera capable,</w:t>
      </w:r>
    </w:p>
    <w:p w:rsidR="00A1239A" w:rsidRDefault="00652D04">
      <w:pPr>
        <w:spacing w:before="120" w:after="120"/>
        <w:ind w:left="720"/>
        <w:jc w:val="both"/>
        <w:rPr>
          <w:i/>
          <w:noProof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>face à une situation relevant du domaine de la psychopathologie, dans le cadre du travail en interdisciplinarité, dans le respect du prescrit légal en vigueur et de la déontologie propre à sa fonction et au secteur :</w:t>
      </w:r>
    </w:p>
    <w:p w:rsidR="00A1239A" w:rsidRDefault="00652D04">
      <w:pPr>
        <w:numPr>
          <w:ilvl w:val="0"/>
          <w:numId w:val="9"/>
        </w:numPr>
        <w:tabs>
          <w:tab w:val="left" w:pos="1260"/>
        </w:tabs>
        <w:spacing w:before="120"/>
        <w:ind w:right="-1" w:firstLine="436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réaliser une analyse, au travers d’une synthèse de type professionnel,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620"/>
        </w:tabs>
        <w:spacing w:before="120"/>
        <w:ind w:left="1440" w:right="-1" w:hanging="18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des actions qu’il a menées ou envisagées,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620"/>
        </w:tabs>
        <w:spacing w:before="120"/>
        <w:ind w:left="1440" w:right="-1" w:hanging="18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des logiques et dynamiques d’intervention en présence,</w:t>
      </w:r>
    </w:p>
    <w:p w:rsidR="00A1239A" w:rsidRDefault="00652D04">
      <w:pPr>
        <w:spacing w:before="240" w:after="60"/>
        <w:ind w:left="357" w:firstLine="902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en</w:t>
      </w:r>
      <w:proofErr w:type="gramEnd"/>
      <w:r>
        <w:rPr>
          <w:color w:val="000000"/>
          <w:sz w:val="22"/>
          <w:szCs w:val="22"/>
        </w:rPr>
        <w:t xml:space="preserve"> tenant compte :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620"/>
        </w:tabs>
        <w:spacing w:before="60"/>
        <w:ind w:left="1440" w:hanging="181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du projet et du contexte personnels du (des) bénéficiaire(s),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620"/>
        </w:tabs>
        <w:spacing w:before="120"/>
        <w:ind w:left="1440" w:right="-1" w:hanging="18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du p</w:t>
      </w:r>
      <w:r>
        <w:rPr>
          <w:noProof/>
          <w:color w:val="000000"/>
          <w:sz w:val="22"/>
          <w:szCs w:val="22"/>
        </w:rPr>
        <w:t>rojet pédagogique et/ou thérapeutique,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620"/>
        </w:tabs>
        <w:spacing w:before="120"/>
        <w:ind w:left="1440" w:right="-1" w:hanging="18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du contexte institutionnel, 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620"/>
        </w:tabs>
        <w:spacing w:before="120"/>
        <w:ind w:left="1440" w:right="-1" w:hanging="18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des différents acteurs qui interviennent autour du bénéficiaire,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620"/>
        </w:tabs>
        <w:spacing w:before="120"/>
        <w:ind w:left="1440" w:right="-1" w:hanging="18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des référents théoriques opportuns ;</w:t>
      </w:r>
    </w:p>
    <w:p w:rsidR="00A1239A" w:rsidRDefault="00652D04">
      <w:pPr>
        <w:numPr>
          <w:ilvl w:val="0"/>
          <w:numId w:val="9"/>
        </w:numPr>
        <w:tabs>
          <w:tab w:val="clear" w:pos="284"/>
          <w:tab w:val="left" w:pos="1260"/>
          <w:tab w:val="num" w:pos="1440"/>
        </w:tabs>
        <w:spacing w:before="120"/>
        <w:ind w:left="126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t xml:space="preserve">d’évaluer son évolution professionnelle et son positionnement au sein du milieu </w:t>
      </w:r>
      <w:r>
        <w:rPr>
          <w:noProof/>
          <w:color w:val="000000"/>
          <w:sz w:val="22"/>
          <w:szCs w:val="22"/>
        </w:rPr>
        <w:t>professionnel.</w:t>
      </w:r>
    </w:p>
    <w:p w:rsidR="00A1239A" w:rsidRDefault="00652D04">
      <w:pPr>
        <w:spacing w:before="480" w:after="120"/>
        <w:ind w:left="714" w:firstLine="6"/>
        <w:jc w:val="both"/>
        <w:rPr>
          <w:sz w:val="22"/>
          <w:szCs w:val="22"/>
        </w:rPr>
      </w:pPr>
      <w:r>
        <w:rPr>
          <w:sz w:val="22"/>
          <w:szCs w:val="22"/>
        </w:rPr>
        <w:t>Pour déterminer le degré de maîtrise, il sera tenu compte des critères suivants :</w:t>
      </w:r>
    </w:p>
    <w:p w:rsidR="00A1239A" w:rsidRDefault="00652D04">
      <w:pPr>
        <w:numPr>
          <w:ilvl w:val="0"/>
          <w:numId w:val="9"/>
        </w:numPr>
        <w:tabs>
          <w:tab w:val="clear" w:pos="284"/>
          <w:tab w:val="left" w:pos="1260"/>
          <w:tab w:val="num" w:pos="1440"/>
        </w:tabs>
        <w:ind w:left="1259" w:hanging="539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le niveau de clarté, de structuration de la synthèse de type professionnel,</w:t>
      </w:r>
    </w:p>
    <w:p w:rsidR="00A1239A" w:rsidRDefault="00652D04">
      <w:pPr>
        <w:numPr>
          <w:ilvl w:val="0"/>
          <w:numId w:val="9"/>
        </w:numPr>
        <w:tabs>
          <w:tab w:val="clear" w:pos="284"/>
          <w:tab w:val="left" w:pos="1260"/>
          <w:tab w:val="num" w:pos="1440"/>
        </w:tabs>
        <w:spacing w:before="120"/>
        <w:ind w:left="126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la richesse avec laquelle il utilise ses référents théoriques,</w:t>
      </w:r>
    </w:p>
    <w:p w:rsidR="00A1239A" w:rsidRDefault="00652D04">
      <w:pPr>
        <w:numPr>
          <w:ilvl w:val="0"/>
          <w:numId w:val="9"/>
        </w:numPr>
        <w:tabs>
          <w:tab w:val="clear" w:pos="284"/>
          <w:tab w:val="left" w:pos="1260"/>
          <w:tab w:val="num" w:pos="1440"/>
        </w:tabs>
        <w:spacing w:before="120"/>
        <w:ind w:left="126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le degré de prise de</w:t>
      </w:r>
      <w:r>
        <w:rPr>
          <w:noProof/>
          <w:color w:val="000000"/>
          <w:sz w:val="22"/>
          <w:szCs w:val="22"/>
        </w:rPr>
        <w:t xml:space="preserve"> recul de son analyse et de son autoévaluation.</w:t>
      </w: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PROGRAMME</w:t>
      </w: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Programme pour l’étudiant</w:t>
      </w:r>
    </w:p>
    <w:p w:rsidR="00A1239A" w:rsidRDefault="00652D04">
      <w:pPr>
        <w:spacing w:before="120" w:after="120"/>
        <w:ind w:left="902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capable,</w:t>
      </w:r>
    </w:p>
    <w:p w:rsidR="00A1239A" w:rsidRDefault="00652D04">
      <w:pPr>
        <w:spacing w:before="120" w:after="120"/>
        <w:ind w:left="902"/>
        <w:jc w:val="both"/>
        <w:rPr>
          <w:i/>
          <w:noProof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 xml:space="preserve">tenant compte de sa fonction et de son rôle, dans le cadre de son insertion dans le service ou l’institution, par l’analyse de situations </w:t>
      </w:r>
      <w:r>
        <w:rPr>
          <w:i/>
          <w:noProof/>
          <w:color w:val="000000"/>
          <w:sz w:val="22"/>
          <w:szCs w:val="22"/>
        </w:rPr>
        <w:t>professionnelles relevant du domaine de la psychopathologie :,</w:t>
      </w:r>
    </w:p>
    <w:p w:rsidR="00A1239A" w:rsidRDefault="00652D04">
      <w:pPr>
        <w:ind w:left="900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son activité au sein du service ou de l’institution,</w:t>
      </w:r>
      <w:r>
        <w:rPr>
          <w:sz w:val="22"/>
          <w:szCs w:val="22"/>
        </w:rPr>
        <w:t xml:space="preserve"> 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d’analyser le projet pédagogique du service ou de l’institution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d’identifier les référents théoriques sur lesquels s’app</w:t>
      </w:r>
      <w:r>
        <w:rPr>
          <w:noProof/>
          <w:color w:val="000000"/>
          <w:sz w:val="22"/>
          <w:szCs w:val="22"/>
        </w:rPr>
        <w:t>uie le service ou l’institution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d’identifier les différentes fonctions et rôles dans l’institution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s’intégrer activement dans une équipe de travail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 s’intégrer dans un réseau et dans une dynamique de partenariat avec les proches l’entourage des </w:t>
      </w:r>
      <w:r>
        <w:rPr>
          <w:noProof/>
          <w:color w:val="000000"/>
          <w:sz w:val="22"/>
          <w:szCs w:val="22"/>
        </w:rPr>
        <w:t>personnes ainsi qu'avec les services connexes ;</w:t>
      </w:r>
    </w:p>
    <w:p w:rsidR="00A1239A" w:rsidRDefault="00652D04">
      <w:pPr>
        <w:spacing w:before="360" w:after="120"/>
        <w:ind w:left="902"/>
        <w:jc w:val="both"/>
        <w:rPr>
          <w:i/>
          <w:noProof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>face à des situations de personnes qui souffrent de difficultés d’ordre psychopathologique, dans le cadre du travail en interdisciplinarité, dans le respect du prescrit légal en vigueur et de la déontologie p</w:t>
      </w:r>
      <w:r>
        <w:rPr>
          <w:i/>
          <w:noProof/>
          <w:color w:val="000000"/>
          <w:sz w:val="22"/>
          <w:szCs w:val="22"/>
        </w:rPr>
        <w:t xml:space="preserve">ropre à sa fonction et au secteur, 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rendre compte de sa pratique professionnelle  en mobilisant les acquis du niveau de la formation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dégager les logiques et dynamiques d’intervention en présence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contextualiser ses interventions notamment sur l</w:t>
      </w:r>
      <w:r>
        <w:rPr>
          <w:noProof/>
          <w:color w:val="000000"/>
          <w:sz w:val="22"/>
          <w:szCs w:val="22"/>
        </w:rPr>
        <w:t>e plan organisationnel et institutionnel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formuler des hypothèses d’analyse de son propre fonctionnement, du fonctionnement de l’équipe et de l’organisation en y intégrant le bénéficiaire de son action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 formuler des hypothèses de travail en tenant </w:t>
      </w:r>
      <w:r>
        <w:rPr>
          <w:noProof/>
          <w:color w:val="000000"/>
          <w:sz w:val="22"/>
          <w:szCs w:val="22"/>
        </w:rPr>
        <w:t>compte des options théoriques, éthiques et pratiques du milieu dans lequel il s’intègre et de les étayer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d’analyser ses prises de position, décisions et actions et de s’autoévaluer. </w:t>
      </w:r>
    </w:p>
    <w:p w:rsidR="00A1239A" w:rsidRDefault="00A1239A">
      <w:pPr>
        <w:overflowPunct/>
        <w:autoSpaceDE/>
        <w:autoSpaceDN/>
        <w:adjustRightInd/>
        <w:ind w:left="360"/>
        <w:jc w:val="both"/>
        <w:rPr>
          <w:color w:val="000000"/>
          <w:sz w:val="22"/>
          <w:szCs w:val="22"/>
        </w:rPr>
      </w:pPr>
    </w:p>
    <w:p w:rsidR="00A1239A" w:rsidRDefault="00A1239A">
      <w:pPr>
        <w:overflowPunct/>
        <w:autoSpaceDE/>
        <w:autoSpaceDN/>
        <w:adjustRightInd/>
        <w:ind w:left="360"/>
        <w:jc w:val="both"/>
        <w:rPr>
          <w:color w:val="000000"/>
          <w:sz w:val="22"/>
          <w:szCs w:val="22"/>
        </w:rPr>
      </w:pPr>
    </w:p>
    <w:p w:rsidR="00A1239A" w:rsidRDefault="00652D04">
      <w:pPr>
        <w:overflowPunct/>
        <w:autoSpaceDE/>
        <w:autoSpaceDN/>
        <w:adjustRightInd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Programme pour le </w:t>
      </w:r>
      <w:r>
        <w:rPr>
          <w:b/>
          <w:iCs/>
          <w:color w:val="000000"/>
          <w:sz w:val="22"/>
          <w:szCs w:val="22"/>
        </w:rPr>
        <w:t>personnel chargé de l’encadrement :</w:t>
      </w:r>
    </w:p>
    <w:p w:rsidR="00A1239A" w:rsidRDefault="00652D04">
      <w:pPr>
        <w:spacing w:before="120" w:after="120"/>
        <w:ind w:left="9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chargé de </w:t>
      </w:r>
      <w:r>
        <w:rPr>
          <w:sz w:val="22"/>
          <w:szCs w:val="22"/>
        </w:rPr>
        <w:t>l’encadrement a pour fonction :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définir le travail attendu, d’annoncer les critères d’évaluation et d’évaluer le travail de l’étudiant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guider et d’accompagner l’étudiant dans la réalisation des travaux demandés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clarifier et de vérifier avec l’</w:t>
      </w:r>
      <w:r>
        <w:rPr>
          <w:noProof/>
          <w:color w:val="000000"/>
          <w:sz w:val="22"/>
          <w:szCs w:val="22"/>
        </w:rPr>
        <w:t>étudiant, le service ou l’institution, les termes du contrat d’activités professionnelles de formation en fonction des items du programme de l’étudiant ;</w:t>
      </w:r>
    </w:p>
    <w:p w:rsidR="00A1239A" w:rsidRDefault="00652D04">
      <w:pPr>
        <w:spacing w:before="360" w:after="120"/>
        <w:ind w:left="902"/>
        <w:jc w:val="both"/>
        <w:rPr>
          <w:i/>
          <w:noProof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>au travers de séances d’intervision ou de supervision :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d’offrir à l’étudiant un espace de réflexion, </w:t>
      </w:r>
      <w:r>
        <w:rPr>
          <w:noProof/>
          <w:color w:val="000000"/>
          <w:sz w:val="22"/>
          <w:szCs w:val="22"/>
        </w:rPr>
        <w:t>d’analyse critique de sa pratique professionnelle, dans le cadre d’une équipe pluridisciplinaire, et des pistes de résolution des difficultés rencontrées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d’apporter tout élément utile à la compréhension :</w:t>
      </w:r>
    </w:p>
    <w:p w:rsidR="00A1239A" w:rsidRDefault="00652D04">
      <w:pPr>
        <w:numPr>
          <w:ilvl w:val="0"/>
          <w:numId w:val="8"/>
        </w:numPr>
        <w:tabs>
          <w:tab w:val="clear" w:pos="170"/>
          <w:tab w:val="left" w:pos="1800"/>
        </w:tabs>
        <w:spacing w:before="60"/>
        <w:ind w:left="1797" w:hanging="357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du contexte sociopolitique, culturel, organisationnel et institutionnel, </w:t>
      </w:r>
    </w:p>
    <w:p w:rsidR="00A1239A" w:rsidRDefault="00652D04">
      <w:pPr>
        <w:numPr>
          <w:ilvl w:val="0"/>
          <w:numId w:val="8"/>
        </w:numPr>
        <w:tabs>
          <w:tab w:val="clear" w:pos="170"/>
          <w:tab w:val="left" w:pos="1800"/>
        </w:tabs>
        <w:spacing w:before="60"/>
        <w:ind w:left="1797" w:hanging="357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du cadre institutionnel, </w:t>
      </w:r>
    </w:p>
    <w:p w:rsidR="00A1239A" w:rsidRDefault="00652D04">
      <w:pPr>
        <w:numPr>
          <w:ilvl w:val="0"/>
          <w:numId w:val="8"/>
        </w:numPr>
        <w:tabs>
          <w:tab w:val="clear" w:pos="170"/>
          <w:tab w:val="left" w:pos="1800"/>
        </w:tabs>
        <w:spacing w:before="60"/>
        <w:ind w:left="1797" w:hanging="357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des relations professionnelles, </w:t>
      </w:r>
    </w:p>
    <w:p w:rsidR="00A1239A" w:rsidRDefault="00652D04">
      <w:pPr>
        <w:numPr>
          <w:ilvl w:val="0"/>
          <w:numId w:val="8"/>
        </w:numPr>
        <w:tabs>
          <w:tab w:val="clear" w:pos="170"/>
          <w:tab w:val="left" w:pos="1800"/>
        </w:tabs>
        <w:spacing w:before="60"/>
        <w:ind w:left="1797" w:hanging="357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des spécificités des secteurs et services dans lesquels l’étudiant s’insère (travail de nuit, travail sous mandat judiciair</w:t>
      </w:r>
      <w:r>
        <w:rPr>
          <w:noProof/>
          <w:color w:val="000000"/>
          <w:sz w:val="22"/>
          <w:szCs w:val="22"/>
        </w:rPr>
        <w:t>e, secret professionnel partagé et au sein de réseaux, droit social, cadre ASBL…) ;</w:t>
      </w:r>
    </w:p>
    <w:p w:rsidR="00A1239A" w:rsidRDefault="00652D04">
      <w:pPr>
        <w:numPr>
          <w:ilvl w:val="0"/>
          <w:numId w:val="7"/>
        </w:numPr>
        <w:tabs>
          <w:tab w:val="clear" w:pos="284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d’amener l’étudiant à établir des liens entre les contenus de la formation et l’analyse des situations.</w:t>
      </w: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CHARGE DE COURS</w:t>
      </w:r>
    </w:p>
    <w:p w:rsidR="00A1239A" w:rsidRDefault="00A1239A">
      <w:pPr>
        <w:ind w:left="426"/>
        <w:jc w:val="both"/>
        <w:rPr>
          <w:color w:val="000000"/>
          <w:sz w:val="22"/>
          <w:szCs w:val="22"/>
        </w:rPr>
      </w:pPr>
    </w:p>
    <w:p w:rsidR="00A1239A" w:rsidRDefault="00652D04">
      <w:pPr>
        <w:spacing w:after="120"/>
        <w:ind w:left="426" w:hanging="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 enseignant ou un expert. </w:t>
      </w:r>
    </w:p>
    <w:p w:rsidR="00A1239A" w:rsidRDefault="00652D04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L’expert devra </w:t>
      </w:r>
      <w:r>
        <w:rPr>
          <w:color w:val="000000"/>
          <w:sz w:val="22"/>
          <w:szCs w:val="22"/>
        </w:rPr>
        <w:t>justifier de compétences particulières issues d’une expérience professionnelle actualisée en relation avec le programme du présent dossier pédagogique.</w:t>
      </w: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CONSTITUTION DES GROUPES OU REGROUPEMENT</w:t>
      </w:r>
    </w:p>
    <w:p w:rsidR="00A1239A" w:rsidRDefault="00A1239A">
      <w:pPr>
        <w:ind w:left="426" w:right="426"/>
        <w:jc w:val="both"/>
        <w:rPr>
          <w:color w:val="000000"/>
          <w:sz w:val="22"/>
          <w:szCs w:val="22"/>
        </w:rPr>
      </w:pPr>
    </w:p>
    <w:p w:rsidR="00A1239A" w:rsidRDefault="00652D04">
      <w:pPr>
        <w:ind w:left="284" w:firstLine="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Sans objet.</w:t>
      </w:r>
    </w:p>
    <w:p w:rsidR="00A1239A" w:rsidRDefault="00A1239A">
      <w:pPr>
        <w:ind w:left="284" w:firstLine="76"/>
        <w:jc w:val="both"/>
        <w:rPr>
          <w:color w:val="000000"/>
          <w:sz w:val="22"/>
          <w:szCs w:val="22"/>
        </w:rPr>
      </w:pPr>
    </w:p>
    <w:p w:rsidR="00A1239A" w:rsidRDefault="00652D04">
      <w:pPr>
        <w:overflowPunct/>
        <w:autoSpaceDE/>
        <w:autoSpaceDN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1239A" w:rsidRDefault="00A1239A">
      <w:pPr>
        <w:ind w:left="284" w:firstLine="76"/>
        <w:jc w:val="both"/>
        <w:rPr>
          <w:color w:val="000000"/>
          <w:sz w:val="22"/>
          <w:szCs w:val="22"/>
        </w:rPr>
      </w:pP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HORAIRE MINIMUM DE L’UNITE D’ENSEIGNEMENT</w:t>
      </w: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Etudiant : 160 périodes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Code U</w:t>
      </w:r>
    </w:p>
    <w:p w:rsidR="00A1239A" w:rsidRDefault="00652D04">
      <w:pPr>
        <w:numPr>
          <w:ilvl w:val="12"/>
          <w:numId w:val="0"/>
        </w:numPr>
        <w:ind w:left="5948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Z</w:t>
      </w:r>
    </w:p>
    <w:p w:rsidR="00A1239A" w:rsidRDefault="00A1239A">
      <w:pPr>
        <w:ind w:left="284"/>
        <w:jc w:val="both"/>
        <w:rPr>
          <w:sz w:val="22"/>
          <w:szCs w:val="22"/>
          <w:u w:val="single"/>
        </w:rPr>
      </w:pPr>
    </w:p>
    <w:p w:rsidR="00A1239A" w:rsidRDefault="00652D04">
      <w:pPr>
        <w:pStyle w:val="Paragraphedeliste"/>
        <w:numPr>
          <w:ilvl w:val="1"/>
          <w:numId w:val="16"/>
        </w:numPr>
        <w:tabs>
          <w:tab w:val="left" w:pos="900"/>
        </w:tabs>
        <w:ind w:righ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Encadrement du stage :</w:t>
      </w:r>
    </w:p>
    <w:p w:rsidR="00A1239A" w:rsidRDefault="00A1239A">
      <w:pPr>
        <w:jc w:val="both"/>
        <w:rPr>
          <w:color w:val="000000"/>
          <w:sz w:val="22"/>
          <w:szCs w:val="22"/>
        </w:rPr>
      </w:pPr>
    </w:p>
    <w:p w:rsidR="00A1239A" w:rsidRDefault="00A1239A">
      <w:pPr>
        <w:numPr>
          <w:ilvl w:val="12"/>
          <w:numId w:val="0"/>
        </w:numPr>
        <w:ind w:right="708" w:hanging="708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83"/>
        <w:gridCol w:w="1980"/>
        <w:gridCol w:w="986"/>
        <w:gridCol w:w="1488"/>
      </w:tblGrid>
      <w:tr w:rsidR="00A1239A">
        <w:trPr>
          <w:jc w:val="center"/>
        </w:trPr>
        <w:tc>
          <w:tcPr>
            <w:tcW w:w="4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39A" w:rsidRDefault="00652D04">
            <w:pPr>
              <w:tabs>
                <w:tab w:val="left" w:pos="712"/>
              </w:tabs>
              <w:ind w:right="426" w:firstLine="71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Dénomination du cours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39A" w:rsidRDefault="00652D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Classement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39A" w:rsidRDefault="00652D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39A" w:rsidRDefault="00652D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 périodes</w:t>
            </w:r>
          </w:p>
        </w:tc>
      </w:tr>
      <w:tr w:rsidR="00A1239A">
        <w:trPr>
          <w:jc w:val="center"/>
        </w:trPr>
        <w:tc>
          <w:tcPr>
            <w:tcW w:w="43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39A" w:rsidRDefault="00652D04">
            <w:pPr>
              <w:ind w:left="196"/>
              <w:rPr>
                <w:color w:val="99336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Encadrement des activités professionnelles de formation : Bachelier de spécialisation :  psychopathologie - </w:t>
            </w:r>
            <w:r>
              <w:rPr>
                <w:sz w:val="22"/>
                <w:szCs w:val="22"/>
              </w:rPr>
              <w:t>Niveau 2 :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9A" w:rsidRDefault="00652D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9A" w:rsidRDefault="00652D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39A" w:rsidRDefault="00652D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A1239A">
        <w:trPr>
          <w:jc w:val="center"/>
        </w:trPr>
        <w:tc>
          <w:tcPr>
            <w:tcW w:w="6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1239A" w:rsidRDefault="00652D04">
            <w:pPr>
              <w:ind w:firstLine="71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des périodes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39A" w:rsidRDefault="00A1239A">
            <w:pPr>
              <w:ind w:left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39A" w:rsidRDefault="00652D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</w:tr>
    </w:tbl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A1239A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A1239A" w:rsidRDefault="00A1239A">
      <w:pPr>
        <w:ind w:left="284" w:firstLine="76"/>
        <w:jc w:val="both"/>
        <w:rPr>
          <w:color w:val="000000"/>
          <w:sz w:val="22"/>
          <w:szCs w:val="22"/>
        </w:rPr>
      </w:pPr>
    </w:p>
    <w:sectPr w:rsidR="00A1239A" w:rsidSect="00A1239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9A" w:rsidRDefault="00652D04">
      <w:r>
        <w:separator/>
      </w:r>
    </w:p>
  </w:endnote>
  <w:endnote w:type="continuationSeparator" w:id="0">
    <w:p w:rsidR="00A1239A" w:rsidRDefault="0065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61057570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A1239A" w:rsidRDefault="00652D04">
            <w:pPr>
              <w:pStyle w:val="Pieddepage"/>
              <w:ind w:left="-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Activités professionnelles de formation : Bachelier de spécialisation – Psychopathologie – niveau 2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A1239A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A1239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6</w:t>
            </w:r>
            <w:r w:rsidR="00A1239A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A1239A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A1239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6</w:t>
            </w:r>
            <w:r w:rsidR="00A1239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1239A" w:rsidRDefault="00A1239A">
    <w:pPr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9A" w:rsidRDefault="00652D04">
      <w:r>
        <w:separator/>
      </w:r>
    </w:p>
  </w:footnote>
  <w:footnote w:type="continuationSeparator" w:id="0">
    <w:p w:rsidR="00A1239A" w:rsidRDefault="00652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0"/>
        <w:u w:val="none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0"/>
        <w:u w:val="none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9">
    <w:nsid w:val="035036F5"/>
    <w:multiLevelType w:val="hybridMultilevel"/>
    <w:tmpl w:val="3CA26468"/>
    <w:lvl w:ilvl="0" w:tplc="E7461FF6"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0">
    <w:nsid w:val="0557113E"/>
    <w:multiLevelType w:val="hybridMultilevel"/>
    <w:tmpl w:val="441C6430"/>
    <w:lvl w:ilvl="0" w:tplc="38D6DA74">
      <w:numFmt w:val="bullet"/>
      <w:lvlText w:val="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2B9B"/>
    <w:multiLevelType w:val="hybridMultilevel"/>
    <w:tmpl w:val="47B67DF6"/>
    <w:lvl w:ilvl="0" w:tplc="7868AAC2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B547F"/>
    <w:multiLevelType w:val="hybridMultilevel"/>
    <w:tmpl w:val="4CA0145A"/>
    <w:lvl w:ilvl="0" w:tplc="0FA2362C">
      <w:start w:val="1"/>
      <w:numFmt w:val="bullet"/>
      <w:pStyle w:val="Puce2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8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E15514"/>
    <w:multiLevelType w:val="hybridMultilevel"/>
    <w:tmpl w:val="469C3A2C"/>
    <w:lvl w:ilvl="0" w:tplc="9A3ED1D4"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966EF"/>
    <w:multiLevelType w:val="multilevel"/>
    <w:tmpl w:val="7534F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>
    <w:nsid w:val="36BB6ED6"/>
    <w:multiLevelType w:val="hybridMultilevel"/>
    <w:tmpl w:val="AC3C21E6"/>
    <w:lvl w:ilvl="0" w:tplc="3EEE88CE">
      <w:start w:val="1"/>
      <w:numFmt w:val="bullet"/>
      <w:lvlText w:val="-"/>
      <w:lvlJc w:val="left"/>
      <w:pPr>
        <w:ind w:left="16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78C2321"/>
    <w:multiLevelType w:val="hybridMultilevel"/>
    <w:tmpl w:val="DF88FE56"/>
    <w:lvl w:ilvl="0" w:tplc="D304FC40">
      <w:start w:val="1"/>
      <w:numFmt w:val="bullet"/>
      <w:pStyle w:val="Puce3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4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467629"/>
    <w:multiLevelType w:val="singleLevel"/>
    <w:tmpl w:val="E5F454EE"/>
    <w:lvl w:ilvl="0">
      <w:numFmt w:val="bullet"/>
      <w:pStyle w:val="Puce1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8">
    <w:nsid w:val="3FAB4F5F"/>
    <w:multiLevelType w:val="hybridMultilevel"/>
    <w:tmpl w:val="4D4A8DF8"/>
    <w:lvl w:ilvl="0" w:tplc="D9120FF6">
      <w:numFmt w:val="bullet"/>
      <w:lvlText w:val="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F44AF8"/>
    <w:multiLevelType w:val="hybridMultilevel"/>
    <w:tmpl w:val="AB3C8CC2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032BC"/>
    <w:multiLevelType w:val="hybridMultilevel"/>
    <w:tmpl w:val="2DD6EA58"/>
    <w:lvl w:ilvl="0" w:tplc="542EF368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1">
    <w:nsid w:val="4A9036FF"/>
    <w:multiLevelType w:val="multilevel"/>
    <w:tmpl w:val="130609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B0B37A7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437844"/>
    <w:multiLevelType w:val="hybridMultilevel"/>
    <w:tmpl w:val="1E8ADF60"/>
    <w:lvl w:ilvl="0" w:tplc="08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61DA40E9"/>
    <w:multiLevelType w:val="hybridMultilevel"/>
    <w:tmpl w:val="B6789916"/>
    <w:lvl w:ilvl="0" w:tplc="2FC604C2"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5">
    <w:nsid w:val="6B80583E"/>
    <w:multiLevelType w:val="multilevel"/>
    <w:tmpl w:val="F9083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775422B7"/>
    <w:multiLevelType w:val="hybridMultilevel"/>
    <w:tmpl w:val="0F50E51C"/>
    <w:lvl w:ilvl="0" w:tplc="A6FA60F4"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i w:val="0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24"/>
  </w:num>
  <w:num w:numId="8">
    <w:abstractNumId w:val="26"/>
  </w:num>
  <w:num w:numId="9">
    <w:abstractNumId w:val="9"/>
  </w:num>
  <w:num w:numId="10">
    <w:abstractNumId w:val="20"/>
  </w:num>
  <w:num w:numId="11">
    <w:abstractNumId w:val="18"/>
  </w:num>
  <w:num w:numId="12">
    <w:abstractNumId w:val="13"/>
  </w:num>
  <w:num w:numId="13">
    <w:abstractNumId w:val="10"/>
  </w:num>
  <w:num w:numId="14">
    <w:abstractNumId w:val="25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1239A"/>
    <w:rsid w:val="00652D04"/>
    <w:rsid w:val="00A1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39A"/>
    <w:pPr>
      <w:overflowPunct w:val="0"/>
      <w:autoSpaceDE w:val="0"/>
      <w:autoSpaceDN w:val="0"/>
      <w:adjustRightInd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A1239A"/>
    <w:pPr>
      <w:keepNext/>
      <w:tabs>
        <w:tab w:val="left" w:leader="dot" w:pos="9639"/>
      </w:tabs>
      <w:overflowPunct/>
      <w:autoSpaceDE/>
      <w:autoSpaceDN/>
      <w:adjustRightInd/>
      <w:ind w:left="34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123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1">
    <w:name w:val="Puce 1"/>
    <w:basedOn w:val="Normal"/>
    <w:next w:val="Normal"/>
    <w:rsid w:val="00A1239A"/>
    <w:pPr>
      <w:numPr>
        <w:numId w:val="1"/>
      </w:numPr>
      <w:jc w:val="both"/>
    </w:pPr>
    <w:rPr>
      <w:sz w:val="22"/>
      <w:szCs w:val="22"/>
      <w:lang w:val="fr-BE" w:eastAsia="en-US"/>
    </w:rPr>
  </w:style>
  <w:style w:type="paragraph" w:customStyle="1" w:styleId="Puce2">
    <w:name w:val="Puce 2"/>
    <w:basedOn w:val="Normal"/>
    <w:next w:val="Normal"/>
    <w:rsid w:val="00A1239A"/>
    <w:pPr>
      <w:numPr>
        <w:numId w:val="2"/>
      </w:numPr>
      <w:spacing w:before="60"/>
      <w:jc w:val="both"/>
    </w:pPr>
    <w:rPr>
      <w:sz w:val="22"/>
      <w:szCs w:val="22"/>
      <w:lang w:eastAsia="en-US"/>
    </w:rPr>
  </w:style>
  <w:style w:type="paragraph" w:customStyle="1" w:styleId="Puce3">
    <w:name w:val="Puce 3"/>
    <w:basedOn w:val="Normal"/>
    <w:next w:val="Normal"/>
    <w:rsid w:val="00A1239A"/>
    <w:pPr>
      <w:numPr>
        <w:numId w:val="3"/>
      </w:numPr>
      <w:tabs>
        <w:tab w:val="left" w:pos="1701"/>
      </w:tabs>
      <w:jc w:val="both"/>
    </w:pPr>
    <w:rPr>
      <w:sz w:val="22"/>
      <w:szCs w:val="22"/>
      <w:lang w:val="fr-BE" w:eastAsia="en-US"/>
    </w:rPr>
  </w:style>
  <w:style w:type="paragraph" w:customStyle="1" w:styleId="Texte">
    <w:name w:val="Texte"/>
    <w:basedOn w:val="Normal"/>
    <w:rsid w:val="00A1239A"/>
    <w:rPr>
      <w:rFonts w:ascii="MS Serif" w:hAnsi="MS Serif"/>
      <w:noProof/>
    </w:rPr>
  </w:style>
  <w:style w:type="paragraph" w:styleId="En-tte">
    <w:name w:val="header"/>
    <w:basedOn w:val="Normal"/>
    <w:rsid w:val="00A123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123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1239A"/>
  </w:style>
  <w:style w:type="paragraph" w:styleId="Corpsdetexte2">
    <w:name w:val="Body Text 2"/>
    <w:basedOn w:val="Normal"/>
    <w:rsid w:val="00A1239A"/>
    <w:pPr>
      <w:spacing w:after="120" w:line="480" w:lineRule="auto"/>
    </w:pPr>
  </w:style>
  <w:style w:type="character" w:styleId="Marquedecommentaire">
    <w:name w:val="annotation reference"/>
    <w:semiHidden/>
    <w:rsid w:val="00A1239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1239A"/>
  </w:style>
  <w:style w:type="paragraph" w:styleId="Textedebulles">
    <w:name w:val="Balloon Text"/>
    <w:basedOn w:val="Normal"/>
    <w:semiHidden/>
    <w:rsid w:val="00A1239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A1239A"/>
    <w:pPr>
      <w:spacing w:after="120"/>
      <w:ind w:left="283"/>
    </w:pPr>
  </w:style>
  <w:style w:type="paragraph" w:styleId="Objetducommentaire">
    <w:name w:val="annotation subject"/>
    <w:basedOn w:val="Commentaire"/>
    <w:next w:val="Commentaire"/>
    <w:semiHidden/>
    <w:rsid w:val="00A1239A"/>
    <w:rPr>
      <w:b/>
      <w:bCs/>
    </w:rPr>
  </w:style>
  <w:style w:type="character" w:customStyle="1" w:styleId="CommentaireCar">
    <w:name w:val="Commentaire Car"/>
    <w:link w:val="Commentaire"/>
    <w:semiHidden/>
    <w:locked/>
    <w:rsid w:val="00A1239A"/>
    <w:rPr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A1239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1239A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1308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dc:description/>
  <cp:lastModifiedBy>Audrey Faniel</cp:lastModifiedBy>
  <cp:revision>12</cp:revision>
  <cp:lastPrinted>2012-03-10T23:28:00Z</cp:lastPrinted>
  <dcterms:created xsi:type="dcterms:W3CDTF">2018-04-15T12:28:00Z</dcterms:created>
  <dcterms:modified xsi:type="dcterms:W3CDTF">2020-01-23T11:07:00Z</dcterms:modified>
</cp:coreProperties>
</file>