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A9" w:rsidRDefault="003826A9">
      <w:pPr>
        <w:pStyle w:val="Texte"/>
        <w:snapToGrid w:val="0"/>
        <w:jc w:val="center"/>
        <w:rPr>
          <w:rFonts w:ascii="Times New Roman" w:hAnsi="Times New Roman"/>
          <w:b/>
        </w:rPr>
      </w:pPr>
    </w:p>
    <w:p w:rsidR="003826A9" w:rsidRDefault="00587266">
      <w:pPr>
        <w:pStyle w:val="Texte"/>
        <w:snapToGri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</w:rPr>
          <w:t>LA COMMUNAUTE FRANCAISE</w:t>
        </w:r>
      </w:smartTag>
    </w:p>
    <w:p w:rsidR="003826A9" w:rsidRDefault="003826A9">
      <w:pPr>
        <w:pStyle w:val="Texte"/>
        <w:snapToGrid w:val="0"/>
        <w:jc w:val="center"/>
        <w:rPr>
          <w:rFonts w:ascii="Times New Roman" w:hAnsi="Times New Roman"/>
          <w:b/>
        </w:rPr>
      </w:pPr>
    </w:p>
    <w:p w:rsidR="003826A9" w:rsidRDefault="00587266">
      <w:pPr>
        <w:pStyle w:val="Texte"/>
        <w:snapToGri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ADMINISTRATION GENERALE DE L’ENSEIGNEMENT</w:t>
      </w:r>
    </w:p>
    <w:p w:rsidR="003826A9" w:rsidRDefault="003826A9">
      <w:pPr>
        <w:pStyle w:val="Texte"/>
        <w:snapToGrid w:val="0"/>
        <w:jc w:val="center"/>
        <w:rPr>
          <w:rFonts w:ascii="Times New Roman" w:hAnsi="Times New Roman"/>
          <w:b/>
        </w:rPr>
      </w:pPr>
    </w:p>
    <w:p w:rsidR="003826A9" w:rsidRDefault="00587266">
      <w:pPr>
        <w:pStyle w:val="Texte"/>
        <w:snapToGri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ENSEIGNEMENT DE PROMOTION SOCIALE</w:t>
      </w:r>
    </w:p>
    <w:p w:rsidR="003826A9" w:rsidRDefault="003826A9">
      <w:pPr>
        <w:pStyle w:val="Texte"/>
        <w:snapToGrid w:val="0"/>
        <w:jc w:val="center"/>
        <w:rPr>
          <w:rFonts w:ascii="Times New Roman" w:hAnsi="Times New Roman"/>
          <w:b/>
        </w:rPr>
      </w:pPr>
    </w:p>
    <w:p w:rsidR="003826A9" w:rsidRDefault="003826A9"/>
    <w:p w:rsidR="003826A9" w:rsidRDefault="003826A9">
      <w:pPr>
        <w:jc w:val="center"/>
      </w:pPr>
    </w:p>
    <w:p w:rsidR="003826A9" w:rsidRDefault="003826A9">
      <w:pPr>
        <w:jc w:val="center"/>
      </w:pPr>
    </w:p>
    <w:p w:rsidR="003826A9" w:rsidRDefault="003826A9">
      <w:pPr>
        <w:jc w:val="center"/>
      </w:pPr>
    </w:p>
    <w:p w:rsidR="003826A9" w:rsidRDefault="003826A9">
      <w:pPr>
        <w:jc w:val="center"/>
      </w:pPr>
    </w:p>
    <w:p w:rsidR="003826A9" w:rsidRDefault="003826A9"/>
    <w:p w:rsidR="003826A9" w:rsidRDefault="003826A9">
      <w:pPr>
        <w:jc w:val="center"/>
      </w:pPr>
    </w:p>
    <w:p w:rsidR="003826A9" w:rsidRDefault="003826A9">
      <w:pPr>
        <w:jc w:val="center"/>
      </w:pPr>
    </w:p>
    <w:p w:rsidR="003826A9" w:rsidRDefault="003826A9">
      <w:pPr>
        <w:jc w:val="center"/>
      </w:pPr>
    </w:p>
    <w:p w:rsidR="003826A9" w:rsidRDefault="003826A9">
      <w:pPr>
        <w:jc w:val="center"/>
      </w:pPr>
    </w:p>
    <w:p w:rsidR="003826A9" w:rsidRDefault="003826A9">
      <w:pPr>
        <w:jc w:val="center"/>
      </w:pPr>
    </w:p>
    <w:p w:rsidR="003826A9" w:rsidRDefault="003826A9">
      <w:pPr>
        <w:jc w:val="center"/>
      </w:pPr>
    </w:p>
    <w:p w:rsidR="003826A9" w:rsidRDefault="003826A9">
      <w:pPr>
        <w:jc w:val="center"/>
      </w:pPr>
    </w:p>
    <w:p w:rsidR="003826A9" w:rsidRDefault="00587266">
      <w:pPr>
        <w:pStyle w:val="Texte"/>
        <w:ind w:left="2126" w:right="2603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DOSSIER PEDAGOGIQUE</w:t>
      </w:r>
    </w:p>
    <w:p w:rsidR="003826A9" w:rsidRDefault="003826A9">
      <w:pPr>
        <w:jc w:val="center"/>
        <w:rPr>
          <w:szCs w:val="22"/>
        </w:rPr>
      </w:pPr>
    </w:p>
    <w:p w:rsidR="003826A9" w:rsidRDefault="003826A9">
      <w:pPr>
        <w:jc w:val="center"/>
        <w:rPr>
          <w:szCs w:val="22"/>
        </w:rPr>
      </w:pPr>
    </w:p>
    <w:p w:rsidR="003826A9" w:rsidRDefault="00587266">
      <w:pPr>
        <w:pStyle w:val="Texte"/>
        <w:spacing w:after="120"/>
        <w:ind w:left="2124" w:right="2603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UNITE D’ENSEIGNEMENT</w:t>
      </w:r>
    </w:p>
    <w:p w:rsidR="003826A9" w:rsidRDefault="003826A9">
      <w:pPr>
        <w:jc w:val="center"/>
        <w:rPr>
          <w:szCs w:val="22"/>
        </w:rPr>
      </w:pPr>
    </w:p>
    <w:p w:rsidR="003826A9" w:rsidRDefault="003826A9">
      <w:pPr>
        <w:jc w:val="center"/>
        <w:rPr>
          <w:szCs w:val="22"/>
        </w:rPr>
      </w:pPr>
    </w:p>
    <w:p w:rsidR="003826A9" w:rsidRDefault="003826A9">
      <w:pPr>
        <w:jc w:val="center"/>
        <w:rPr>
          <w:szCs w:val="22"/>
        </w:rPr>
      </w:pPr>
    </w:p>
    <w:p w:rsidR="003826A9" w:rsidRDefault="0058726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INTERVENTION SYSTEMIQUE :</w:t>
      </w:r>
    </w:p>
    <w:p w:rsidR="003826A9" w:rsidRDefault="0058726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approches conceptuelles DE LA THEORIE </w:t>
      </w:r>
    </w:p>
    <w:p w:rsidR="003826A9" w:rsidRDefault="0058726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DES SYSTEMES</w:t>
      </w:r>
    </w:p>
    <w:p w:rsidR="003826A9" w:rsidRDefault="003826A9"/>
    <w:p w:rsidR="003826A9" w:rsidRDefault="003826A9"/>
    <w:p w:rsidR="003826A9" w:rsidRDefault="003826A9"/>
    <w:p w:rsidR="003826A9" w:rsidRDefault="003826A9"/>
    <w:p w:rsidR="003826A9" w:rsidRDefault="00587266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ENSEIGNEMENT SUPERIEUR DE TYPE COURT</w:t>
      </w:r>
    </w:p>
    <w:p w:rsidR="003826A9" w:rsidRDefault="00587266">
      <w:pPr>
        <w:jc w:val="center"/>
      </w:pPr>
      <w:r>
        <w:t>DOMAINE : SCIENCES PSYCHOLOGIQUES ET DE L’EDUCATION</w:t>
      </w:r>
    </w:p>
    <w:p w:rsidR="003826A9" w:rsidRDefault="003826A9"/>
    <w:p w:rsidR="003826A9" w:rsidRDefault="003826A9"/>
    <w:p w:rsidR="003826A9" w:rsidRDefault="003826A9"/>
    <w:p w:rsidR="003826A9" w:rsidRDefault="003826A9"/>
    <w:p w:rsidR="003826A9" w:rsidRDefault="003826A9"/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3826A9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26A9" w:rsidRDefault="00587266">
            <w:pPr>
              <w:pStyle w:val="Texte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CODE : 95 10 11 U36 D1</w:t>
            </w:r>
          </w:p>
        </w:tc>
      </w:tr>
      <w:tr w:rsidR="003826A9"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26A9" w:rsidRDefault="00587266">
            <w:pPr>
              <w:pStyle w:val="Texte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CODE DU DOMAINE DE FORMATION : </w:t>
            </w:r>
            <w:r>
              <w:rPr>
                <w:rFonts w:ascii="Times New Roman" w:hAnsi="Times New Roman"/>
                <w:b/>
                <w:szCs w:val="22"/>
              </w:rPr>
              <w:t>902</w:t>
            </w:r>
          </w:p>
        </w:tc>
      </w:tr>
      <w:tr w:rsidR="003826A9"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6A9" w:rsidRDefault="00587266">
            <w:pPr>
              <w:pStyle w:val="Texte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DOCUMENT DE REFERENCE INTER-RESEAUX</w:t>
            </w:r>
          </w:p>
        </w:tc>
      </w:tr>
    </w:tbl>
    <w:p w:rsidR="003826A9" w:rsidRDefault="003826A9">
      <w:pPr>
        <w:ind w:left="708" w:firstLine="12"/>
        <w:rPr>
          <w:sz w:val="24"/>
        </w:rPr>
      </w:pPr>
    </w:p>
    <w:p w:rsidR="003826A9" w:rsidRDefault="003826A9">
      <w:pPr>
        <w:ind w:left="708" w:firstLine="12"/>
        <w:rPr>
          <w:sz w:val="24"/>
        </w:rPr>
      </w:pPr>
    </w:p>
    <w:p w:rsidR="003826A9" w:rsidRDefault="003826A9">
      <w:pPr>
        <w:ind w:left="708" w:firstLine="12"/>
        <w:rPr>
          <w:sz w:val="24"/>
        </w:rPr>
      </w:pPr>
    </w:p>
    <w:p w:rsidR="003826A9" w:rsidRDefault="00587266">
      <w:pPr>
        <w:ind w:left="708" w:firstLine="12"/>
        <w:rPr>
          <w:b/>
          <w:szCs w:val="22"/>
        </w:rPr>
      </w:pPr>
      <w:r>
        <w:rPr>
          <w:b/>
          <w:szCs w:val="22"/>
        </w:rPr>
        <w:t>Approbation du Gouvernement de la Communauté française du 20 décembre 2019</w:t>
      </w:r>
      <w:r>
        <w:rPr>
          <w:b/>
          <w:szCs w:val="22"/>
        </w:rPr>
        <w:t>,</w:t>
      </w:r>
    </w:p>
    <w:p w:rsidR="003826A9" w:rsidRDefault="00587266">
      <w:pPr>
        <w:jc w:val="center"/>
        <w:rPr>
          <w:b/>
          <w:szCs w:val="22"/>
        </w:rPr>
      </w:pPr>
      <w:proofErr w:type="gramStart"/>
      <w:r>
        <w:rPr>
          <w:b/>
          <w:szCs w:val="22"/>
        </w:rPr>
        <w:t>sur</w:t>
      </w:r>
      <w:proofErr w:type="gramEnd"/>
      <w:r>
        <w:rPr>
          <w:b/>
          <w:szCs w:val="22"/>
        </w:rPr>
        <w:t xml:space="preserve"> avis conforme du Conseil général</w:t>
      </w:r>
    </w:p>
    <w:p w:rsidR="003826A9" w:rsidRDefault="00587266">
      <w:pPr>
        <w:jc w:val="center"/>
        <w:rPr>
          <w:b/>
          <w:szCs w:val="22"/>
        </w:rPr>
      </w:pPr>
      <w:r>
        <w:rPr>
          <w:b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3826A9">
        <w:tc>
          <w:tcPr>
            <w:tcW w:w="9212" w:type="dxa"/>
          </w:tcPr>
          <w:p w:rsidR="003826A9" w:rsidRDefault="00587266">
            <w:pPr>
              <w:spacing w:before="12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4"/>
                <w:szCs w:val="24"/>
              </w:rPr>
              <w:lastRenderedPageBreak/>
              <w:t>INTERVENTION SYSTEMIQUE</w:t>
            </w:r>
            <w:r>
              <w:rPr>
                <w:b/>
                <w:caps/>
                <w:sz w:val="28"/>
                <w:szCs w:val="28"/>
              </w:rPr>
              <w:t> :</w:t>
            </w:r>
          </w:p>
          <w:p w:rsidR="003826A9" w:rsidRDefault="00587266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approches conceptuelles DE </w:t>
            </w:r>
            <w:smartTag w:uri="urn:schemas-microsoft-com:office:smarttags" w:element="PersonName">
              <w:smartTagPr>
                <w:attr w:name="ProductID" w:val="LA THEORIE DES"/>
              </w:smartTagPr>
              <w:r>
                <w:rPr>
                  <w:b/>
                  <w:caps/>
                  <w:sz w:val="24"/>
                  <w:szCs w:val="24"/>
                </w:rPr>
                <w:t>LA THEORIE DES</w:t>
              </w:r>
            </w:smartTag>
            <w:r>
              <w:rPr>
                <w:b/>
                <w:caps/>
                <w:sz w:val="24"/>
                <w:szCs w:val="24"/>
              </w:rPr>
              <w:t xml:space="preserve"> SYSTEMES</w:t>
            </w:r>
          </w:p>
          <w:p w:rsidR="003826A9" w:rsidRDefault="003826A9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3826A9" w:rsidRDefault="00587266">
            <w:pPr>
              <w:spacing w:after="12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</w:rPr>
              <w:t xml:space="preserve">ENSEIGNEMENT SUPERIEUR DE TYPE </w:t>
            </w:r>
            <w:r>
              <w:rPr>
                <w:b/>
              </w:rPr>
              <w:t>COURT</w:t>
            </w:r>
          </w:p>
        </w:tc>
      </w:tr>
    </w:tbl>
    <w:p w:rsidR="003826A9" w:rsidRDefault="003826A9">
      <w:pPr>
        <w:pStyle w:val="Pieddepage"/>
        <w:tabs>
          <w:tab w:val="clear" w:pos="4536"/>
          <w:tab w:val="clear" w:pos="9072"/>
        </w:tabs>
        <w:jc w:val="both"/>
      </w:pPr>
    </w:p>
    <w:p w:rsidR="003826A9" w:rsidRDefault="003826A9">
      <w:pPr>
        <w:pStyle w:val="Pieddepage"/>
        <w:tabs>
          <w:tab w:val="clear" w:pos="4536"/>
          <w:tab w:val="clear" w:pos="9072"/>
        </w:tabs>
        <w:jc w:val="both"/>
      </w:pPr>
    </w:p>
    <w:p w:rsidR="003826A9" w:rsidRDefault="003826A9">
      <w:pPr>
        <w:pStyle w:val="Pieddepage"/>
        <w:tabs>
          <w:tab w:val="clear" w:pos="4536"/>
          <w:tab w:val="clear" w:pos="9072"/>
        </w:tabs>
        <w:jc w:val="both"/>
      </w:pPr>
    </w:p>
    <w:p w:rsidR="003826A9" w:rsidRDefault="00587266">
      <w:pPr>
        <w:pStyle w:val="Paragraphedeliste"/>
        <w:numPr>
          <w:ilvl w:val="0"/>
          <w:numId w:val="11"/>
        </w:numPr>
        <w:tabs>
          <w:tab w:val="left" w:pos="360"/>
        </w:tabs>
        <w:jc w:val="both"/>
        <w:rPr>
          <w:b/>
          <w:szCs w:val="22"/>
        </w:rPr>
      </w:pPr>
      <w:r>
        <w:rPr>
          <w:b/>
          <w:szCs w:val="22"/>
        </w:rPr>
        <w:t>FINALITES DE L’UNITE D’ENSEIGNEMENT</w:t>
      </w:r>
    </w:p>
    <w:p w:rsidR="003826A9" w:rsidRDefault="003826A9">
      <w:pPr>
        <w:jc w:val="both"/>
      </w:pPr>
    </w:p>
    <w:p w:rsidR="003826A9" w:rsidRDefault="00587266">
      <w:pPr>
        <w:pStyle w:val="Paragraphedeliste"/>
        <w:numPr>
          <w:ilvl w:val="1"/>
          <w:numId w:val="11"/>
        </w:numPr>
        <w:tabs>
          <w:tab w:val="left" w:pos="900"/>
        </w:tabs>
        <w:jc w:val="both"/>
        <w:rPr>
          <w:b/>
        </w:rPr>
      </w:pPr>
      <w:r>
        <w:rPr>
          <w:b/>
        </w:rPr>
        <w:t>Finalités générales</w:t>
      </w:r>
    </w:p>
    <w:p w:rsidR="003826A9" w:rsidRDefault="00587266">
      <w:pPr>
        <w:spacing w:before="120"/>
        <w:ind w:left="900"/>
        <w:jc w:val="both"/>
        <w:rPr>
          <w:szCs w:val="22"/>
        </w:rPr>
      </w:pPr>
      <w:r>
        <w:rPr>
          <w:szCs w:val="22"/>
        </w:rPr>
        <w:t xml:space="preserve">Dans le respect de l’article 7 du décret de </w:t>
      </w:r>
      <w:smartTag w:uri="urn:schemas-microsoft-com:office:smarttags" w:element="PersonName">
        <w:smartTagPr>
          <w:attr w:name="ProductID" w:val="la Communaut￩ Fran￧aise"/>
        </w:smartTagPr>
        <w:r>
          <w:rPr>
            <w:szCs w:val="22"/>
          </w:rPr>
          <w:t>la Communauté Française</w:t>
        </w:r>
      </w:smartTag>
      <w:r>
        <w:rPr>
          <w:szCs w:val="22"/>
        </w:rPr>
        <w:t xml:space="preserve"> du 16 avril 1991 organisant l’enseignement de promotion sociale, cette unité d’enseignement doit :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concourir à </w:t>
      </w:r>
      <w:r>
        <w:rPr>
          <w:szCs w:val="22"/>
        </w:rPr>
        <w:t>l’épanouissement individuel en promouvant une meilleure insertion professionnelle, sociale, scolaire et culturelle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répondre aux besoins et demandes en formation émanant des entreprises, des administrations, de l’enseignement et d’une manière générale des</w:t>
      </w:r>
      <w:r>
        <w:rPr>
          <w:szCs w:val="22"/>
        </w:rPr>
        <w:t xml:space="preserve"> milieux socio-économiques et culturels.</w:t>
      </w:r>
    </w:p>
    <w:p w:rsidR="003826A9" w:rsidRDefault="003826A9">
      <w:pPr>
        <w:jc w:val="both"/>
      </w:pPr>
    </w:p>
    <w:p w:rsidR="003826A9" w:rsidRDefault="003826A9">
      <w:pPr>
        <w:jc w:val="both"/>
      </w:pPr>
    </w:p>
    <w:p w:rsidR="003826A9" w:rsidRDefault="00587266">
      <w:pPr>
        <w:pStyle w:val="Paragraphedeliste"/>
        <w:numPr>
          <w:ilvl w:val="1"/>
          <w:numId w:val="11"/>
        </w:numPr>
        <w:tabs>
          <w:tab w:val="left" w:pos="900"/>
        </w:tabs>
        <w:jc w:val="both"/>
        <w:rPr>
          <w:b/>
        </w:rPr>
      </w:pPr>
      <w:r>
        <w:rPr>
          <w:b/>
        </w:rPr>
        <w:t>1.2</w:t>
      </w:r>
      <w:r>
        <w:rPr>
          <w:b/>
        </w:rPr>
        <w:tab/>
        <w:t>Finalités particulières</w:t>
      </w:r>
    </w:p>
    <w:p w:rsidR="003826A9" w:rsidRDefault="00587266">
      <w:pPr>
        <w:spacing w:before="120"/>
        <w:ind w:left="900"/>
        <w:jc w:val="both"/>
        <w:rPr>
          <w:szCs w:val="22"/>
        </w:rPr>
      </w:pPr>
      <w:r>
        <w:rPr>
          <w:szCs w:val="22"/>
        </w:rPr>
        <w:t>L’unité d’enseignement vise à rendre l’étudiant capable :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maitriser les fondements de la pensée systémique afin d’analyser les interactions humaines selon ce mode de pensée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d’expliquer en quoi ce mode de pensée enrichit sa manière d’appréhender les problèmes sociaux en général et ceux qui relèvent de son projet de formation en particulier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</w:pPr>
      <w:r>
        <w:rPr>
          <w:szCs w:val="22"/>
        </w:rPr>
        <w:t xml:space="preserve">de développer une nouvelle manière d’appréhender son vécu. </w:t>
      </w:r>
    </w:p>
    <w:p w:rsidR="003826A9" w:rsidRDefault="003826A9">
      <w:pPr>
        <w:jc w:val="both"/>
      </w:pPr>
    </w:p>
    <w:p w:rsidR="003826A9" w:rsidRDefault="003826A9">
      <w:pPr>
        <w:jc w:val="both"/>
      </w:pPr>
    </w:p>
    <w:p w:rsidR="003826A9" w:rsidRDefault="003826A9">
      <w:pPr>
        <w:jc w:val="both"/>
      </w:pPr>
    </w:p>
    <w:p w:rsidR="003826A9" w:rsidRDefault="00587266">
      <w:pPr>
        <w:pStyle w:val="Paragraphedeliste"/>
        <w:numPr>
          <w:ilvl w:val="0"/>
          <w:numId w:val="11"/>
        </w:numPr>
        <w:tabs>
          <w:tab w:val="left" w:pos="360"/>
        </w:tabs>
        <w:jc w:val="both"/>
        <w:rPr>
          <w:b/>
          <w:szCs w:val="22"/>
        </w:rPr>
      </w:pPr>
      <w:r>
        <w:rPr>
          <w:b/>
          <w:szCs w:val="22"/>
        </w:rPr>
        <w:t>CAPACITES PREALABLES RE</w:t>
      </w:r>
      <w:r>
        <w:rPr>
          <w:b/>
          <w:szCs w:val="22"/>
        </w:rPr>
        <w:t>QUISES</w:t>
      </w:r>
    </w:p>
    <w:p w:rsidR="003826A9" w:rsidRDefault="003826A9">
      <w:pPr>
        <w:tabs>
          <w:tab w:val="left" w:pos="-720"/>
        </w:tabs>
        <w:jc w:val="both"/>
      </w:pPr>
    </w:p>
    <w:p w:rsidR="003826A9" w:rsidRDefault="00587266">
      <w:pPr>
        <w:pStyle w:val="Paragraphedeliste"/>
        <w:numPr>
          <w:ilvl w:val="1"/>
          <w:numId w:val="11"/>
        </w:numPr>
        <w:tabs>
          <w:tab w:val="left" w:pos="900"/>
        </w:tabs>
        <w:jc w:val="both"/>
        <w:rPr>
          <w:b/>
        </w:rPr>
      </w:pPr>
      <w:r>
        <w:rPr>
          <w:b/>
        </w:rPr>
        <w:t>Capacités</w:t>
      </w:r>
    </w:p>
    <w:p w:rsidR="003826A9" w:rsidRDefault="00587266">
      <w:pPr>
        <w:spacing w:before="120"/>
        <w:ind w:left="900"/>
        <w:jc w:val="both"/>
        <w:rPr>
          <w:i/>
          <w:szCs w:val="22"/>
        </w:rPr>
      </w:pPr>
      <w:r>
        <w:rPr>
          <w:i/>
          <w:szCs w:val="22"/>
        </w:rPr>
        <w:t>Au départ d’une thématique traitant de situations psycho-socio-éducatives ou liées au domaine de la santé, dans le respect du cadre déontologique, des règles et usages de la langue française et au travers d’un travail écrit personnel resp</w:t>
      </w:r>
      <w:r>
        <w:rPr>
          <w:i/>
          <w:szCs w:val="22"/>
        </w:rPr>
        <w:t xml:space="preserve">ectant une méthodologie rigoureuse et d’une présentation orale du travail, 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color w:val="000000"/>
          <w:szCs w:val="22"/>
        </w:rPr>
      </w:pPr>
      <w:r>
        <w:rPr>
          <w:color w:val="000000"/>
          <w:szCs w:val="22"/>
        </w:rPr>
        <w:t>présenter une prise en charge d’une ou de plusieurs personnes accompagnées dans un milieu professionnel ayant pour objectif l’amélioration ou le rétablissement de la santé, le déve</w:t>
      </w:r>
      <w:r>
        <w:rPr>
          <w:color w:val="000000"/>
          <w:szCs w:val="22"/>
        </w:rPr>
        <w:t>loppement global ou l’autonomie de la personne et pour laquelle l’étudiant  rencontre des difficultés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color w:val="000000"/>
          <w:szCs w:val="22"/>
        </w:rPr>
      </w:pPr>
      <w:r>
        <w:rPr>
          <w:color w:val="000000"/>
          <w:szCs w:val="22"/>
        </w:rPr>
        <w:t>analyser la ou les situations en faisant référence aux concepts théoriques, méthodologiques ou techniques relevant d’au moins un des domaines suivants :</w:t>
      </w:r>
      <w:r>
        <w:rPr>
          <w:color w:val="000000"/>
          <w:szCs w:val="22"/>
        </w:rPr>
        <w:t xml:space="preserve"> </w:t>
      </w:r>
    </w:p>
    <w:p w:rsidR="003826A9" w:rsidRDefault="00587266">
      <w:pPr>
        <w:pStyle w:val="Corpsdetexte3"/>
        <w:widowControl w:val="0"/>
        <w:numPr>
          <w:ilvl w:val="2"/>
          <w:numId w:val="7"/>
        </w:numPr>
        <w:tabs>
          <w:tab w:val="clear" w:pos="3104"/>
          <w:tab w:val="num" w:pos="1440"/>
        </w:tabs>
        <w:spacing w:after="0"/>
        <w:ind w:hanging="184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droit et législation,</w:t>
      </w:r>
    </w:p>
    <w:p w:rsidR="003826A9" w:rsidRDefault="00587266">
      <w:pPr>
        <w:pStyle w:val="Corpsdetexte3"/>
        <w:widowControl w:val="0"/>
        <w:numPr>
          <w:ilvl w:val="2"/>
          <w:numId w:val="7"/>
        </w:numPr>
        <w:tabs>
          <w:tab w:val="clear" w:pos="3104"/>
          <w:tab w:val="num" w:pos="1440"/>
        </w:tabs>
        <w:spacing w:after="0"/>
        <w:ind w:hanging="184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sociologie,</w:t>
      </w:r>
    </w:p>
    <w:p w:rsidR="003826A9" w:rsidRDefault="00587266">
      <w:pPr>
        <w:pStyle w:val="Corpsdetexte3"/>
        <w:widowControl w:val="0"/>
        <w:numPr>
          <w:ilvl w:val="2"/>
          <w:numId w:val="7"/>
        </w:numPr>
        <w:tabs>
          <w:tab w:val="clear" w:pos="3104"/>
          <w:tab w:val="num" w:pos="1440"/>
        </w:tabs>
        <w:spacing w:after="0"/>
        <w:ind w:hanging="184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analyse des organisations,</w:t>
      </w:r>
    </w:p>
    <w:p w:rsidR="003826A9" w:rsidRDefault="00587266">
      <w:pPr>
        <w:pStyle w:val="Corpsdetexte3"/>
        <w:widowControl w:val="0"/>
        <w:numPr>
          <w:ilvl w:val="2"/>
          <w:numId w:val="7"/>
        </w:numPr>
        <w:tabs>
          <w:tab w:val="clear" w:pos="3104"/>
          <w:tab w:val="num" w:pos="1440"/>
        </w:tabs>
        <w:spacing w:after="0"/>
        <w:ind w:hanging="184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psychologie,</w:t>
      </w:r>
    </w:p>
    <w:p w:rsidR="003826A9" w:rsidRDefault="00587266">
      <w:pPr>
        <w:pStyle w:val="Corpsdetexte3"/>
        <w:widowControl w:val="0"/>
        <w:numPr>
          <w:ilvl w:val="2"/>
          <w:numId w:val="7"/>
        </w:numPr>
        <w:tabs>
          <w:tab w:val="clear" w:pos="3104"/>
          <w:tab w:val="num" w:pos="1440"/>
        </w:tabs>
        <w:spacing w:after="0"/>
        <w:ind w:hanging="184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psychopédagogie,</w:t>
      </w:r>
    </w:p>
    <w:p w:rsidR="003826A9" w:rsidRDefault="00587266">
      <w:pPr>
        <w:pStyle w:val="Corpsdetexte3"/>
        <w:widowControl w:val="0"/>
        <w:numPr>
          <w:ilvl w:val="2"/>
          <w:numId w:val="7"/>
        </w:numPr>
        <w:tabs>
          <w:tab w:val="clear" w:pos="3104"/>
          <w:tab w:val="num" w:pos="1440"/>
        </w:tabs>
        <w:spacing w:after="0"/>
        <w:ind w:hanging="184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psychopathologie,</w:t>
      </w:r>
    </w:p>
    <w:p w:rsidR="003826A9" w:rsidRDefault="00587266">
      <w:pPr>
        <w:pStyle w:val="Corpsdetexte3"/>
        <w:widowControl w:val="0"/>
        <w:numPr>
          <w:ilvl w:val="2"/>
          <w:numId w:val="7"/>
        </w:numPr>
        <w:tabs>
          <w:tab w:val="clear" w:pos="3104"/>
          <w:tab w:val="num" w:pos="1440"/>
        </w:tabs>
        <w:spacing w:after="0"/>
        <w:ind w:left="1440" w:hanging="18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lastRenderedPageBreak/>
        <w:t>sciences fondamentales (biologie, anatomie, physiologie, biochimie, microbiologie…),</w:t>
      </w:r>
    </w:p>
    <w:p w:rsidR="003826A9" w:rsidRDefault="00587266">
      <w:pPr>
        <w:pStyle w:val="Corpsdetexte3"/>
        <w:widowControl w:val="0"/>
        <w:numPr>
          <w:ilvl w:val="2"/>
          <w:numId w:val="7"/>
        </w:numPr>
        <w:tabs>
          <w:tab w:val="clear" w:pos="3104"/>
          <w:tab w:val="num" w:pos="1440"/>
        </w:tabs>
        <w:spacing w:after="0"/>
        <w:ind w:hanging="184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éducation à la santé,</w:t>
      </w:r>
    </w:p>
    <w:p w:rsidR="003826A9" w:rsidRDefault="00587266">
      <w:pPr>
        <w:pStyle w:val="Corpsdetexte3"/>
        <w:widowControl w:val="0"/>
        <w:numPr>
          <w:ilvl w:val="2"/>
          <w:numId w:val="7"/>
        </w:numPr>
        <w:tabs>
          <w:tab w:val="clear" w:pos="3104"/>
          <w:tab w:val="num" w:pos="1440"/>
        </w:tabs>
        <w:spacing w:after="0"/>
        <w:ind w:hanging="184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soins infirmiers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color w:val="000000"/>
          <w:szCs w:val="22"/>
        </w:rPr>
      </w:pPr>
      <w:r>
        <w:rPr>
          <w:color w:val="000000"/>
          <w:szCs w:val="22"/>
        </w:rPr>
        <w:t>poser une réflexion</w:t>
      </w:r>
      <w:r>
        <w:rPr>
          <w:color w:val="000000"/>
          <w:szCs w:val="22"/>
        </w:rPr>
        <w:t xml:space="preserve"> critique formalisée et rigoureuse sur ces situations, accompagnée d’un questionnement éthique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color w:val="000000"/>
          <w:szCs w:val="22"/>
        </w:rPr>
      </w:pPr>
      <w:r>
        <w:rPr>
          <w:color w:val="000000"/>
          <w:szCs w:val="22"/>
        </w:rPr>
        <w:t>présenter, justifier et évaluer des pistes de solutions novatrices en référence à des bases théoriques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color w:val="000000"/>
          <w:szCs w:val="22"/>
        </w:rPr>
      </w:pPr>
      <w:r>
        <w:rPr>
          <w:color w:val="000000"/>
          <w:szCs w:val="22"/>
        </w:rPr>
        <w:t>établir un lien entre le type de prise en charge/d’int</w:t>
      </w:r>
      <w:r>
        <w:rPr>
          <w:color w:val="000000"/>
          <w:szCs w:val="22"/>
        </w:rPr>
        <w:t>ervention et les systèmes/choix politiques, économiques, culturels ou sociaux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color w:val="000000"/>
          <w:szCs w:val="22"/>
        </w:rPr>
      </w:pPr>
      <w:r>
        <w:rPr>
          <w:color w:val="000000"/>
          <w:szCs w:val="22"/>
        </w:rPr>
        <w:t>situer son travail dans le cadre d’une équipe pluridisciplinaire et/ou d’intervenants extérieurs, notamment en présentant des collaborations avec d’autres intervenants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color w:val="000000"/>
          <w:szCs w:val="22"/>
        </w:rPr>
      </w:pPr>
      <w:r>
        <w:rPr>
          <w:color w:val="000000"/>
          <w:szCs w:val="22"/>
        </w:rPr>
        <w:t>apport</w:t>
      </w:r>
      <w:r>
        <w:rPr>
          <w:color w:val="000000"/>
          <w:szCs w:val="22"/>
        </w:rPr>
        <w:t xml:space="preserve">er des éléments faisant la preuve d’une  connaissance de soi et de l’autre sur base des différentes étapes du développement de la personne (affectif, social, intellectuel…) ; 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utiliser des techniques de base de la communication et les situer par rapport à </w:t>
      </w:r>
      <w:r>
        <w:rPr>
          <w:color w:val="000000"/>
          <w:szCs w:val="22"/>
        </w:rPr>
        <w:t>différentes approches conceptuelles (approche systémique, analyse transactionnelle, relation d’aide…)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color w:val="000000"/>
          <w:szCs w:val="22"/>
        </w:rPr>
      </w:pPr>
      <w:r>
        <w:rPr>
          <w:color w:val="000000"/>
          <w:szCs w:val="22"/>
        </w:rPr>
        <w:t>répondre d’une manière claire et concise aux questions en faisant la preuve qu’il maîtrise les concepts utilisés.</w:t>
      </w:r>
    </w:p>
    <w:p w:rsidR="003826A9" w:rsidRDefault="003826A9">
      <w:pPr>
        <w:pStyle w:val="Corpsdetexte"/>
        <w:jc w:val="both"/>
        <w:rPr>
          <w:rFonts w:ascii="Times New Roman" w:hAnsi="Times New Roman"/>
        </w:rPr>
      </w:pPr>
    </w:p>
    <w:p w:rsidR="003826A9" w:rsidRDefault="003826A9">
      <w:pPr>
        <w:pStyle w:val="Corpsdetexte"/>
        <w:jc w:val="both"/>
        <w:rPr>
          <w:rFonts w:ascii="Times New Roman" w:hAnsi="Times New Roman"/>
        </w:rPr>
      </w:pPr>
    </w:p>
    <w:p w:rsidR="003826A9" w:rsidRDefault="00587266">
      <w:pPr>
        <w:pStyle w:val="Paragraphedeliste"/>
        <w:numPr>
          <w:ilvl w:val="1"/>
          <w:numId w:val="11"/>
        </w:numPr>
        <w:tabs>
          <w:tab w:val="left" w:pos="900"/>
        </w:tabs>
        <w:jc w:val="both"/>
        <w:rPr>
          <w:b/>
        </w:rPr>
      </w:pPr>
      <w:r>
        <w:rPr>
          <w:b/>
        </w:rPr>
        <w:t>Titre pouvant en tenir lieu</w:t>
      </w:r>
    </w:p>
    <w:p w:rsidR="003826A9" w:rsidRDefault="003826A9">
      <w:pPr>
        <w:pStyle w:val="Retraitcorpsdetexte"/>
        <w:ind w:left="720"/>
        <w:jc w:val="both"/>
        <w:rPr>
          <w:sz w:val="22"/>
          <w:szCs w:val="22"/>
        </w:rPr>
      </w:pPr>
    </w:p>
    <w:p w:rsidR="003826A9" w:rsidRDefault="00587266">
      <w:pPr>
        <w:pStyle w:val="Retraitcorpsdetexte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un</w:t>
      </w:r>
      <w:r>
        <w:rPr>
          <w:sz w:val="22"/>
          <w:szCs w:val="22"/>
        </w:rPr>
        <w:t xml:space="preserve"> diplôme de bachelier ou de master dont la liste est définie et tenue à jour par le Gouvernement, après consultation de l’ARES (Académie de Recherche et d’Enseignement Supérieur), </w:t>
      </w:r>
    </w:p>
    <w:p w:rsidR="003826A9" w:rsidRDefault="00587266">
      <w:pPr>
        <w:pStyle w:val="Retraitcorpsdetexte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soit un diplôme délivré en Communauté flamande ou germanophone similaire à </w:t>
      </w:r>
      <w:r>
        <w:rPr>
          <w:sz w:val="22"/>
          <w:szCs w:val="22"/>
        </w:rPr>
        <w:t>un diplôme contenu dans la liste dont question supra,</w:t>
      </w:r>
    </w:p>
    <w:p w:rsidR="003826A9" w:rsidRDefault="00587266">
      <w:pPr>
        <w:pStyle w:val="Retraitcorpsdetexte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un diplôme étranger reconnu équivalent à un diplôme contenu dans la liste dont question supra.</w:t>
      </w:r>
    </w:p>
    <w:p w:rsidR="003826A9" w:rsidRDefault="003826A9">
      <w:pPr>
        <w:pStyle w:val="Corpsdetexte"/>
        <w:jc w:val="both"/>
        <w:rPr>
          <w:rFonts w:ascii="Times New Roman" w:hAnsi="Times New Roman"/>
        </w:rPr>
      </w:pPr>
    </w:p>
    <w:p w:rsidR="003826A9" w:rsidRDefault="003826A9">
      <w:pPr>
        <w:pStyle w:val="Corpsdetexte"/>
        <w:jc w:val="both"/>
        <w:rPr>
          <w:rFonts w:ascii="Times New Roman" w:hAnsi="Times New Roman"/>
        </w:rPr>
      </w:pPr>
    </w:p>
    <w:p w:rsidR="003826A9" w:rsidRDefault="00587266">
      <w:pPr>
        <w:pStyle w:val="Paragraphedeliste"/>
        <w:numPr>
          <w:ilvl w:val="0"/>
          <w:numId w:val="11"/>
        </w:numPr>
        <w:tabs>
          <w:tab w:val="left" w:pos="360"/>
        </w:tabs>
        <w:jc w:val="both"/>
        <w:rPr>
          <w:b/>
          <w:szCs w:val="22"/>
        </w:rPr>
      </w:pPr>
      <w:r>
        <w:rPr>
          <w:b/>
          <w:szCs w:val="22"/>
        </w:rPr>
        <w:t>ACQUIS D’APPRENTISSAGE </w:t>
      </w:r>
    </w:p>
    <w:p w:rsidR="003826A9" w:rsidRDefault="003826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</w:pPr>
    </w:p>
    <w:p w:rsidR="003826A9" w:rsidRDefault="00587266">
      <w:pPr>
        <w:ind w:left="360"/>
        <w:rPr>
          <w:b/>
          <w:color w:val="000000"/>
          <w:szCs w:val="22"/>
        </w:rPr>
      </w:pPr>
      <w:r>
        <w:rPr>
          <w:b/>
          <w:color w:val="000000"/>
          <w:szCs w:val="22"/>
        </w:rPr>
        <w:t>Pour atteindre le seuil de réussite, l’étudiant sera capable,</w:t>
      </w:r>
    </w:p>
    <w:p w:rsidR="003826A9" w:rsidRDefault="00587266">
      <w:pPr>
        <w:spacing w:before="120"/>
        <w:ind w:left="357"/>
        <w:jc w:val="both"/>
      </w:pPr>
      <w:proofErr w:type="gramStart"/>
      <w:r>
        <w:rPr>
          <w:i/>
        </w:rPr>
        <w:t>face</w:t>
      </w:r>
      <w:proofErr w:type="gramEnd"/>
      <w:r>
        <w:rPr>
          <w:i/>
        </w:rPr>
        <w:t xml:space="preserve"> à une situation exemplative donnée </w:t>
      </w:r>
      <w:r>
        <w:t>:</w:t>
      </w:r>
    </w:p>
    <w:p w:rsidR="003826A9" w:rsidRDefault="00587266">
      <w:pPr>
        <w:numPr>
          <w:ilvl w:val="0"/>
          <w:numId w:val="10"/>
        </w:numPr>
        <w:tabs>
          <w:tab w:val="clear" w:pos="2115"/>
          <w:tab w:val="num" w:pos="900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de démontrer sa maîtrise des principaux concepts étudiés ;</w:t>
      </w:r>
    </w:p>
    <w:p w:rsidR="003826A9" w:rsidRDefault="00587266">
      <w:pPr>
        <w:numPr>
          <w:ilvl w:val="0"/>
          <w:numId w:val="10"/>
        </w:numPr>
        <w:tabs>
          <w:tab w:val="clear" w:pos="2115"/>
          <w:tab w:val="num" w:pos="900"/>
          <w:tab w:val="num" w:pos="1260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d’illustrer la façon dont l’un ou l’autre de ces concepts lui permet d’enrichir sa perception d’une situation-problème issue de ses expériences professionnelle</w:t>
      </w:r>
      <w:r>
        <w:rPr>
          <w:szCs w:val="22"/>
        </w:rPr>
        <w:t>s ou proposées par le chargé de cours ;</w:t>
      </w:r>
    </w:p>
    <w:p w:rsidR="003826A9" w:rsidRDefault="00587266">
      <w:pPr>
        <w:numPr>
          <w:ilvl w:val="0"/>
          <w:numId w:val="10"/>
        </w:numPr>
        <w:tabs>
          <w:tab w:val="clear" w:pos="2115"/>
          <w:tab w:val="num" w:pos="900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d’y repérer les notions de système et d’en analyser les particularités ;</w:t>
      </w:r>
    </w:p>
    <w:p w:rsidR="003826A9" w:rsidRDefault="00587266">
      <w:pPr>
        <w:numPr>
          <w:ilvl w:val="0"/>
          <w:numId w:val="10"/>
        </w:numPr>
        <w:tabs>
          <w:tab w:val="clear" w:pos="2115"/>
          <w:tab w:val="num" w:pos="900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d’émettre des hypothèses interactionnelles quant au fonctionnement du système ;</w:t>
      </w:r>
    </w:p>
    <w:p w:rsidR="003826A9" w:rsidRDefault="00587266">
      <w:pPr>
        <w:numPr>
          <w:ilvl w:val="0"/>
          <w:numId w:val="10"/>
        </w:numPr>
        <w:tabs>
          <w:tab w:val="clear" w:pos="2115"/>
          <w:tab w:val="num" w:pos="900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 xml:space="preserve">d’énoncer les paramètres posés par l’application de </w:t>
      </w:r>
      <w:r>
        <w:rPr>
          <w:szCs w:val="22"/>
        </w:rPr>
        <w:t>l’épistémologie circulaire ;</w:t>
      </w:r>
    </w:p>
    <w:p w:rsidR="003826A9" w:rsidRDefault="00587266">
      <w:pPr>
        <w:numPr>
          <w:ilvl w:val="0"/>
          <w:numId w:val="10"/>
        </w:numPr>
        <w:tabs>
          <w:tab w:val="clear" w:pos="2115"/>
          <w:tab w:val="num" w:pos="900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 xml:space="preserve">de présenter </w:t>
      </w:r>
      <w:r>
        <w:rPr>
          <w:color w:val="000000"/>
          <w:szCs w:val="22"/>
        </w:rPr>
        <w:t>ses attentes en termes de formation, en lien avec des situations-problèmes rencontrées au cours de ses expériences professionnelles</w:t>
      </w:r>
      <w:r>
        <w:rPr>
          <w:szCs w:val="22"/>
        </w:rPr>
        <w:t>.</w:t>
      </w:r>
    </w:p>
    <w:p w:rsidR="003826A9" w:rsidRDefault="003826A9">
      <w:pPr>
        <w:tabs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480" w:line="240" w:lineRule="exact"/>
        <w:ind w:left="357"/>
        <w:jc w:val="both"/>
        <w:rPr>
          <w:color w:val="000000"/>
          <w:szCs w:val="22"/>
          <w:lang w:val="fr-BE"/>
        </w:rPr>
      </w:pPr>
    </w:p>
    <w:p w:rsidR="003826A9" w:rsidRDefault="00587266">
      <w:pPr>
        <w:tabs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480" w:line="240" w:lineRule="exact"/>
        <w:ind w:left="357"/>
        <w:jc w:val="both"/>
        <w:rPr>
          <w:color w:val="000000"/>
          <w:szCs w:val="22"/>
          <w:lang w:val="fr-BE"/>
        </w:rPr>
      </w:pPr>
      <w:bookmarkStart w:id="0" w:name="_GoBack"/>
      <w:bookmarkEnd w:id="0"/>
      <w:r>
        <w:rPr>
          <w:color w:val="000000"/>
          <w:szCs w:val="22"/>
          <w:lang w:val="fr-BE"/>
        </w:rPr>
        <w:t xml:space="preserve">Pour la détermination du degré de maîtrise, il sera tenu compte des critères </w:t>
      </w:r>
      <w:r>
        <w:rPr>
          <w:color w:val="000000"/>
          <w:szCs w:val="22"/>
          <w:lang w:val="fr-BE"/>
        </w:rPr>
        <w:t>suivants :</w:t>
      </w:r>
    </w:p>
    <w:p w:rsidR="003826A9" w:rsidRDefault="00587266">
      <w:pPr>
        <w:numPr>
          <w:ilvl w:val="0"/>
          <w:numId w:val="3"/>
        </w:numPr>
        <w:tabs>
          <w:tab w:val="left" w:pos="851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1755"/>
        <w:jc w:val="both"/>
        <w:rPr>
          <w:szCs w:val="22"/>
        </w:rPr>
      </w:pPr>
      <w:r>
        <w:rPr>
          <w:szCs w:val="22"/>
        </w:rPr>
        <w:t>la qualité de l’expression orale et/ou écrite,</w:t>
      </w:r>
    </w:p>
    <w:p w:rsidR="003826A9" w:rsidRDefault="00587266">
      <w:pPr>
        <w:numPr>
          <w:ilvl w:val="0"/>
          <w:numId w:val="3"/>
        </w:numPr>
        <w:tabs>
          <w:tab w:val="left" w:pos="851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1755"/>
        <w:jc w:val="both"/>
        <w:rPr>
          <w:szCs w:val="22"/>
        </w:rPr>
      </w:pPr>
      <w:r>
        <w:rPr>
          <w:szCs w:val="22"/>
        </w:rPr>
        <w:t>le niveau de finesse de l’analyse,</w:t>
      </w:r>
    </w:p>
    <w:p w:rsidR="003826A9" w:rsidRDefault="00587266">
      <w:pPr>
        <w:numPr>
          <w:ilvl w:val="0"/>
          <w:numId w:val="3"/>
        </w:numPr>
        <w:tabs>
          <w:tab w:val="left" w:pos="851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1755"/>
        <w:jc w:val="both"/>
        <w:rPr>
          <w:szCs w:val="22"/>
        </w:rPr>
      </w:pPr>
      <w:r>
        <w:rPr>
          <w:szCs w:val="22"/>
        </w:rPr>
        <w:t>le degré de pertinence de l’hypothèse proposée,</w:t>
      </w:r>
    </w:p>
    <w:p w:rsidR="003826A9" w:rsidRDefault="00587266">
      <w:pPr>
        <w:numPr>
          <w:ilvl w:val="0"/>
          <w:numId w:val="3"/>
        </w:numPr>
        <w:tabs>
          <w:tab w:val="left" w:pos="851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1755"/>
        <w:jc w:val="both"/>
        <w:rPr>
          <w:color w:val="000000"/>
          <w:szCs w:val="22"/>
        </w:rPr>
      </w:pPr>
      <w:r>
        <w:rPr>
          <w:szCs w:val="22"/>
        </w:rPr>
        <w:t xml:space="preserve">la qualité des </w:t>
      </w:r>
      <w:r>
        <w:rPr>
          <w:color w:val="000000"/>
          <w:szCs w:val="22"/>
        </w:rPr>
        <w:t>liens effectués entre la pratique et les éléments théoriques.</w:t>
      </w:r>
    </w:p>
    <w:p w:rsidR="003826A9" w:rsidRDefault="003826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</w:pPr>
    </w:p>
    <w:p w:rsidR="003826A9" w:rsidRDefault="003826A9">
      <w:pPr>
        <w:pStyle w:val="Corpsdetexte"/>
        <w:jc w:val="both"/>
        <w:rPr>
          <w:rFonts w:ascii="Times New Roman" w:hAnsi="Times New Roman"/>
        </w:rPr>
      </w:pPr>
    </w:p>
    <w:p w:rsidR="003826A9" w:rsidRDefault="00587266">
      <w:pPr>
        <w:pStyle w:val="Paragraphedeliste"/>
        <w:numPr>
          <w:ilvl w:val="0"/>
          <w:numId w:val="11"/>
        </w:numPr>
        <w:tabs>
          <w:tab w:val="left" w:pos="360"/>
        </w:tabs>
        <w:jc w:val="both"/>
        <w:rPr>
          <w:b/>
          <w:szCs w:val="22"/>
        </w:rPr>
      </w:pPr>
      <w:r>
        <w:rPr>
          <w:b/>
          <w:szCs w:val="22"/>
        </w:rPr>
        <w:t>PROGRAMME</w:t>
      </w:r>
    </w:p>
    <w:p w:rsidR="003826A9" w:rsidRDefault="003826A9">
      <w:pPr>
        <w:spacing w:before="120"/>
        <w:ind w:firstLine="902"/>
        <w:jc w:val="both"/>
      </w:pPr>
    </w:p>
    <w:p w:rsidR="003826A9" w:rsidRDefault="00587266">
      <w:pPr>
        <w:ind w:firstLine="357"/>
        <w:jc w:val="both"/>
      </w:pPr>
      <w:r>
        <w:t>L’étudiant sera capable :</w:t>
      </w:r>
    </w:p>
    <w:p w:rsidR="003826A9" w:rsidRDefault="003826A9">
      <w:pPr>
        <w:ind w:firstLine="357"/>
        <w:jc w:val="both"/>
        <w:rPr>
          <w:strike/>
        </w:rPr>
      </w:pPr>
    </w:p>
    <w:p w:rsidR="003826A9" w:rsidRDefault="00587266">
      <w:pPr>
        <w:pStyle w:val="Paragraphedeliste"/>
        <w:numPr>
          <w:ilvl w:val="1"/>
          <w:numId w:val="11"/>
        </w:numPr>
        <w:tabs>
          <w:tab w:val="left" w:pos="900"/>
        </w:tabs>
        <w:jc w:val="both"/>
        <w:rPr>
          <w:b/>
        </w:rPr>
      </w:pPr>
      <w:r>
        <w:rPr>
          <w:b/>
        </w:rPr>
        <w:t>en « Epistémologie et théorie générale des systèmes »,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définir les concepts majeurs de la pensée systémique et des théories qui s’y rapportent ; 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de définir les notions de « systèmes » et de les analyser dans leurs propriétés et particularités, et </w:t>
      </w:r>
      <w:r>
        <w:rPr>
          <w:szCs w:val="22"/>
        </w:rPr>
        <w:t>tout particulièrement dans leurs applications au champ pédagogique et thérapeutique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caractériser les principaux concepts de la théorie des systèmes notamment systèmes, sous-systèmes, rétroaction, homéostasie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d’appliquer ces concepts à des situations</w:t>
      </w:r>
      <w:r>
        <w:rPr>
          <w:szCs w:val="22"/>
        </w:rPr>
        <w:t xml:space="preserve"> de vie quotidienne ou de l’actualité (sociale, politique, culturelle ou économique), ainsi qu’à des situations issues de ses terrains d’expériences professionnelles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confronter l’épistémologie linéaire à l’épistémologie circulaire en la situant dans s</w:t>
      </w:r>
      <w:r>
        <w:rPr>
          <w:szCs w:val="22"/>
        </w:rPr>
        <w:t>on contexte historique d’apparition et dans sa signification propre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situer les principales caractéristiques épistémologiques de l’approche systémique dans l’histoire de la pensée et particulièrement, la prise en compte de complexité irréductible au si</w:t>
      </w:r>
      <w:r>
        <w:rPr>
          <w:szCs w:val="22"/>
        </w:rPr>
        <w:t>mple en complétant la démarche analytique par une démarche synthétique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d’intégrer les différents outils de décodage systémique à sa pratique professionnelle ;</w:t>
      </w:r>
    </w:p>
    <w:p w:rsidR="003826A9" w:rsidRDefault="003826A9">
      <w:pPr>
        <w:tabs>
          <w:tab w:val="left" w:pos="900"/>
        </w:tabs>
        <w:spacing w:before="120"/>
        <w:jc w:val="both"/>
        <w:rPr>
          <w:szCs w:val="22"/>
        </w:rPr>
      </w:pPr>
    </w:p>
    <w:p w:rsidR="003826A9" w:rsidRDefault="003826A9">
      <w:pPr>
        <w:tabs>
          <w:tab w:val="left" w:pos="900"/>
        </w:tabs>
        <w:spacing w:before="120"/>
        <w:jc w:val="both"/>
        <w:rPr>
          <w:szCs w:val="22"/>
        </w:rPr>
      </w:pPr>
    </w:p>
    <w:p w:rsidR="003826A9" w:rsidRDefault="00587266">
      <w:pPr>
        <w:pStyle w:val="Paragraphedeliste"/>
        <w:numPr>
          <w:ilvl w:val="1"/>
          <w:numId w:val="11"/>
        </w:numPr>
        <w:tabs>
          <w:tab w:val="left" w:pos="900"/>
        </w:tabs>
        <w:jc w:val="both"/>
        <w:rPr>
          <w:b/>
        </w:rPr>
      </w:pPr>
      <w:r>
        <w:rPr>
          <w:b/>
        </w:rPr>
        <w:t>en « Pragmatique de la communication »,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s’initier et de se familiariser avec l’approche de</w:t>
      </w:r>
      <w:r>
        <w:rPr>
          <w:szCs w:val="22"/>
        </w:rPr>
        <w:t xml:space="preserve"> la pragmatique de la communication (en référence, par exemple à l’approche de Palo Alto)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comparer les spécificités et les nouveautés de cette approche interactionnelle par rapport aux modèles dominants de la communication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d’appliquer cette approche</w:t>
      </w:r>
      <w:r>
        <w:rPr>
          <w:szCs w:val="22"/>
        </w:rPr>
        <w:t xml:space="preserve"> à des situations de communication de la vie quotidienne ou à des situations issues de ses terrains d’expériences professionnelles ;</w:t>
      </w:r>
    </w:p>
    <w:p w:rsidR="003826A9" w:rsidRDefault="003826A9">
      <w:pPr>
        <w:jc w:val="both"/>
      </w:pPr>
    </w:p>
    <w:p w:rsidR="003826A9" w:rsidRDefault="003826A9">
      <w:pPr>
        <w:jc w:val="both"/>
      </w:pPr>
    </w:p>
    <w:p w:rsidR="003826A9" w:rsidRDefault="00587266">
      <w:pPr>
        <w:pStyle w:val="Paragraphedeliste"/>
        <w:numPr>
          <w:ilvl w:val="1"/>
          <w:numId w:val="11"/>
        </w:numPr>
        <w:tabs>
          <w:tab w:val="left" w:pos="900"/>
        </w:tabs>
        <w:jc w:val="both"/>
        <w:rPr>
          <w:b/>
        </w:rPr>
      </w:pPr>
      <w:r>
        <w:rPr>
          <w:b/>
        </w:rPr>
        <w:t>en « Lecture systémique »,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d’exposer point par point l’épistémologie de la systémique notamment la neutralité et la théor</w:t>
      </w:r>
      <w:r>
        <w:rPr>
          <w:szCs w:val="22"/>
        </w:rPr>
        <w:t>ie d’Heisenberg, la théorie des quantas, la systémique biologique et l’homologie, la systémique sociale, les points théoriques à ses expériences professionnelles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lastRenderedPageBreak/>
        <w:t>de développer la notion de rupture épistémologique (dans le modèle mécaniste newtonien et da</w:t>
      </w:r>
      <w:r>
        <w:rPr>
          <w:szCs w:val="22"/>
        </w:rPr>
        <w:t>ns le modèle personnel de l’étudiant) dans ses expériences professionnelles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retrouver dans son vécu les « ruptures » que la nouvelle manière de penser/travailler fait résonner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de décrire différents modèles systémiques notamment modèle de Palo Alto, </w:t>
      </w:r>
      <w:r>
        <w:rPr>
          <w:szCs w:val="22"/>
        </w:rPr>
        <w:t>modèle de Milan, modèle Milwaukee, modèle de Bohr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d’expliciter les intérêts de ceux-ci et leurs champs d’application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d’analyser les fondements d’un modèle particulier, ses orientations, son histoire et d’envisager les intersections avec d’autres modèle</w:t>
      </w:r>
      <w:r>
        <w:rPr>
          <w:szCs w:val="22"/>
        </w:rPr>
        <w:t>s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de repérer les différents enjeux mobilisant les pratiques d’intervention qui le(s) </w:t>
      </w:r>
      <w:proofErr w:type="gramStart"/>
      <w:r>
        <w:rPr>
          <w:szCs w:val="22"/>
        </w:rPr>
        <w:t>soutient(</w:t>
      </w:r>
      <w:proofErr w:type="gramEnd"/>
      <w:r>
        <w:rPr>
          <w:szCs w:val="22"/>
        </w:rPr>
        <w:t>soutiennent) ;</w:t>
      </w:r>
    </w:p>
    <w:p w:rsidR="003826A9" w:rsidRDefault="003826A9">
      <w:pPr>
        <w:tabs>
          <w:tab w:val="left" w:pos="900"/>
        </w:tabs>
        <w:spacing w:before="120"/>
        <w:ind w:left="1260"/>
        <w:jc w:val="both"/>
        <w:rPr>
          <w:szCs w:val="22"/>
        </w:rPr>
      </w:pPr>
    </w:p>
    <w:p w:rsidR="003826A9" w:rsidRDefault="00587266">
      <w:pPr>
        <w:pStyle w:val="Paragraphedeliste"/>
        <w:numPr>
          <w:ilvl w:val="1"/>
          <w:numId w:val="11"/>
        </w:numPr>
        <w:tabs>
          <w:tab w:val="left" w:pos="900"/>
        </w:tabs>
        <w:jc w:val="both"/>
        <w:rPr>
          <w:b/>
        </w:rPr>
      </w:pPr>
      <w:r>
        <w:rPr>
          <w:b/>
        </w:rPr>
        <w:t>en « Constructivisme en sociologie »,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d’expliquer que toute connaissance est issue d’un processus de construction où interviennent des </w:t>
      </w:r>
      <w:r>
        <w:rPr>
          <w:szCs w:val="22"/>
        </w:rPr>
        <w:t>dimensions biologiques, culturelles, linguistiques, sociales, idéologiques…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d’interroger ses propres évidences par la remise en cause d’une réalité conçue non plus pour elle-même mais comme une construction nécessaire à l’action ;</w:t>
      </w:r>
    </w:p>
    <w:p w:rsidR="003826A9" w:rsidRDefault="00587266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tirer de ce qui préc</w:t>
      </w:r>
      <w:r>
        <w:rPr>
          <w:szCs w:val="22"/>
        </w:rPr>
        <w:t>ède les conséquences qui s’imposent en matière de responsabilité à l’égard de ses propres constructions et en termes d’articulation entre la connaissance et l’action et spécifiquement l’intervention sociale.</w:t>
      </w:r>
    </w:p>
    <w:p w:rsidR="003826A9" w:rsidRDefault="003826A9">
      <w:pPr>
        <w:spacing w:line="240" w:lineRule="exact"/>
        <w:jc w:val="both"/>
      </w:pPr>
    </w:p>
    <w:p w:rsidR="003826A9" w:rsidRDefault="003826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</w:pPr>
    </w:p>
    <w:p w:rsidR="003826A9" w:rsidRDefault="003826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</w:pPr>
    </w:p>
    <w:p w:rsidR="003826A9" w:rsidRDefault="00587266">
      <w:pPr>
        <w:pStyle w:val="Paragraphedeliste"/>
        <w:numPr>
          <w:ilvl w:val="0"/>
          <w:numId w:val="11"/>
        </w:numPr>
        <w:tabs>
          <w:tab w:val="left" w:pos="360"/>
        </w:tabs>
        <w:jc w:val="both"/>
        <w:rPr>
          <w:b/>
          <w:szCs w:val="22"/>
        </w:rPr>
      </w:pPr>
      <w:r>
        <w:rPr>
          <w:b/>
          <w:szCs w:val="22"/>
        </w:rPr>
        <w:t>CHARGE DE COURS</w:t>
      </w:r>
    </w:p>
    <w:p w:rsidR="003826A9" w:rsidRDefault="003826A9">
      <w:pPr>
        <w:jc w:val="both"/>
      </w:pPr>
    </w:p>
    <w:p w:rsidR="003826A9" w:rsidRDefault="00587266">
      <w:pPr>
        <w:ind w:firstLine="360"/>
        <w:jc w:val="both"/>
      </w:pPr>
      <w:r>
        <w:t>Un enseignant ou un expert.</w:t>
      </w:r>
    </w:p>
    <w:p w:rsidR="003826A9" w:rsidRDefault="00587266">
      <w:pPr>
        <w:spacing w:before="120"/>
        <w:ind w:left="357"/>
        <w:rPr>
          <w:color w:val="000000"/>
          <w:szCs w:val="22"/>
        </w:rPr>
      </w:pPr>
      <w:r>
        <w:rPr>
          <w:color w:val="000000"/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3826A9" w:rsidRDefault="003826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</w:pPr>
    </w:p>
    <w:p w:rsidR="003826A9" w:rsidRDefault="003826A9">
      <w:pPr>
        <w:jc w:val="both"/>
      </w:pPr>
    </w:p>
    <w:p w:rsidR="003826A9" w:rsidRDefault="00587266">
      <w:pPr>
        <w:pStyle w:val="Paragraphedeliste"/>
        <w:numPr>
          <w:ilvl w:val="0"/>
          <w:numId w:val="11"/>
        </w:numPr>
        <w:tabs>
          <w:tab w:val="left" w:pos="360"/>
        </w:tabs>
        <w:jc w:val="both"/>
        <w:rPr>
          <w:b/>
          <w:szCs w:val="22"/>
        </w:rPr>
      </w:pPr>
      <w:r>
        <w:rPr>
          <w:b/>
          <w:szCs w:val="22"/>
        </w:rPr>
        <w:t xml:space="preserve">CONSTITUTION DES GROUPES OU REGROUPEMENT </w:t>
      </w:r>
    </w:p>
    <w:p w:rsidR="003826A9" w:rsidRDefault="003826A9">
      <w:pPr>
        <w:jc w:val="both"/>
      </w:pPr>
    </w:p>
    <w:p w:rsidR="003826A9" w:rsidRDefault="00587266" w:rsidP="00587266">
      <w:pPr>
        <w:ind w:firstLine="360"/>
        <w:jc w:val="both"/>
      </w:pPr>
      <w:r>
        <w:t>Aucune recommandation particulière.</w:t>
      </w:r>
    </w:p>
    <w:p w:rsidR="00587266" w:rsidRDefault="00587266">
      <w:pPr>
        <w:pStyle w:val="Corpsdetexte"/>
        <w:jc w:val="both"/>
        <w:rPr>
          <w:rFonts w:ascii="Times New Roman" w:hAnsi="Times New Roman"/>
        </w:rPr>
      </w:pPr>
    </w:p>
    <w:p w:rsidR="003826A9" w:rsidRDefault="00587266">
      <w:pPr>
        <w:pStyle w:val="Paragraphedeliste"/>
        <w:numPr>
          <w:ilvl w:val="0"/>
          <w:numId w:val="11"/>
        </w:numPr>
        <w:tabs>
          <w:tab w:val="left" w:pos="360"/>
        </w:tabs>
        <w:jc w:val="both"/>
        <w:rPr>
          <w:b/>
          <w:szCs w:val="22"/>
        </w:rPr>
      </w:pPr>
      <w:r>
        <w:rPr>
          <w:b/>
          <w:szCs w:val="22"/>
        </w:rPr>
        <w:t xml:space="preserve">HORAIRE MINIMUM DE L’UNITE D’ENSEIGNEMENT </w:t>
      </w:r>
    </w:p>
    <w:p w:rsidR="003826A9" w:rsidRDefault="003826A9">
      <w:pPr>
        <w:pStyle w:val="Corpsdetext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382"/>
        <w:gridCol w:w="1701"/>
        <w:gridCol w:w="1701"/>
        <w:gridCol w:w="1488"/>
      </w:tblGrid>
      <w:tr w:rsidR="003826A9">
        <w:trPr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26A9" w:rsidRDefault="00587266">
            <w:pPr>
              <w:pStyle w:val="Paragraphedeliste"/>
              <w:numPr>
                <w:ilvl w:val="1"/>
                <w:numId w:val="11"/>
              </w:numPr>
              <w:ind w:left="479"/>
              <w:jc w:val="both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Dénomination du cours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26A9" w:rsidRDefault="00587266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26A9" w:rsidRDefault="00587266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Code U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6A9" w:rsidRDefault="00587266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Nombre de périodes</w:t>
            </w:r>
          </w:p>
        </w:tc>
      </w:tr>
      <w:tr w:rsidR="003826A9">
        <w:trPr>
          <w:jc w:val="center"/>
        </w:trPr>
        <w:tc>
          <w:tcPr>
            <w:tcW w:w="33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6A9" w:rsidRDefault="00587266">
            <w:pPr>
              <w:ind w:left="354"/>
              <w:rPr>
                <w:color w:val="000000"/>
                <w:szCs w:val="22"/>
              </w:rPr>
            </w:pPr>
            <w:r>
              <w:rPr>
                <w:color w:val="000000"/>
              </w:rPr>
              <w:t>Epistémologie et théorie générale des systèmes 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A9" w:rsidRDefault="0058726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A9" w:rsidRDefault="0058726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6A9" w:rsidRDefault="0058726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32</w:t>
            </w:r>
          </w:p>
        </w:tc>
      </w:tr>
      <w:tr w:rsidR="003826A9">
        <w:trPr>
          <w:jc w:val="center"/>
        </w:trPr>
        <w:tc>
          <w:tcPr>
            <w:tcW w:w="33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6A9" w:rsidRDefault="00587266">
            <w:pPr>
              <w:ind w:left="354"/>
              <w:rPr>
                <w:color w:val="000000"/>
              </w:rPr>
            </w:pPr>
            <w:r>
              <w:rPr>
                <w:color w:val="000000"/>
              </w:rPr>
              <w:t>Pragmatique de la communication 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A9" w:rsidRDefault="0058726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A9" w:rsidRDefault="0058726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6A9" w:rsidRDefault="0058726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12</w:t>
            </w:r>
          </w:p>
        </w:tc>
      </w:tr>
      <w:tr w:rsidR="003826A9">
        <w:trPr>
          <w:jc w:val="center"/>
        </w:trPr>
        <w:tc>
          <w:tcPr>
            <w:tcW w:w="33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6A9" w:rsidRDefault="00587266">
            <w:pPr>
              <w:ind w:left="354"/>
              <w:rPr>
                <w:color w:val="000000"/>
              </w:rPr>
            </w:pPr>
            <w:r>
              <w:rPr>
                <w:color w:val="000000"/>
              </w:rPr>
              <w:t>Lecture systémique 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A9" w:rsidRDefault="0058726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A9" w:rsidRDefault="0058726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6A9" w:rsidRDefault="0058726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36</w:t>
            </w:r>
          </w:p>
        </w:tc>
      </w:tr>
      <w:tr w:rsidR="003826A9">
        <w:trPr>
          <w:jc w:val="center"/>
        </w:trPr>
        <w:tc>
          <w:tcPr>
            <w:tcW w:w="33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6A9" w:rsidRDefault="00587266">
            <w:pPr>
              <w:ind w:left="354"/>
              <w:rPr>
                <w:color w:val="000000"/>
              </w:rPr>
            </w:pPr>
            <w:r>
              <w:rPr>
                <w:color w:val="000000"/>
              </w:rPr>
              <w:t>Constructivisme en</w:t>
            </w:r>
            <w:r>
              <w:rPr>
                <w:color w:val="000000"/>
              </w:rPr>
              <w:t xml:space="preserve"> sociologie 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A9" w:rsidRDefault="0058726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A9" w:rsidRDefault="0058726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6A9" w:rsidRDefault="0058726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16</w:t>
            </w:r>
          </w:p>
        </w:tc>
      </w:tr>
      <w:tr w:rsidR="003826A9">
        <w:trPr>
          <w:jc w:val="center"/>
        </w:trPr>
        <w:tc>
          <w:tcPr>
            <w:tcW w:w="5083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6A9" w:rsidRDefault="00587266">
            <w:pPr>
              <w:pStyle w:val="Paragraphedeliste"/>
              <w:numPr>
                <w:ilvl w:val="1"/>
                <w:numId w:val="11"/>
              </w:numPr>
              <w:ind w:left="479"/>
              <w:jc w:val="both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Part d’autonomie   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A9" w:rsidRDefault="0058726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6A9" w:rsidRDefault="0058726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 24</w:t>
            </w:r>
          </w:p>
        </w:tc>
      </w:tr>
      <w:tr w:rsidR="003826A9">
        <w:trPr>
          <w:jc w:val="center"/>
        </w:trPr>
        <w:tc>
          <w:tcPr>
            <w:tcW w:w="67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826A9" w:rsidRDefault="00587266">
            <w:pPr>
              <w:ind w:left="709" w:hanging="82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 Total des périodes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826A9" w:rsidRDefault="00587266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120</w:t>
            </w:r>
          </w:p>
        </w:tc>
      </w:tr>
    </w:tbl>
    <w:p w:rsidR="003826A9" w:rsidRDefault="003826A9">
      <w:pPr>
        <w:pStyle w:val="Corpsdetexte"/>
        <w:jc w:val="both"/>
        <w:rPr>
          <w:rFonts w:ascii="Times New Roman" w:hAnsi="Times New Roman"/>
        </w:rPr>
      </w:pPr>
    </w:p>
    <w:p w:rsidR="003826A9" w:rsidRDefault="003826A9">
      <w:pPr>
        <w:ind w:firstLine="360"/>
        <w:jc w:val="both"/>
      </w:pPr>
    </w:p>
    <w:sectPr w:rsidR="003826A9" w:rsidSect="003826A9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6A9" w:rsidRDefault="00587266">
      <w:r>
        <w:separator/>
      </w:r>
    </w:p>
  </w:endnote>
  <w:endnote w:type="continuationSeparator" w:id="0">
    <w:p w:rsidR="003826A9" w:rsidRDefault="00587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40931031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3826A9" w:rsidRDefault="00587266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Intervention systémique : approche conceptuelle de la théorie des systèmes</w:t>
            </w:r>
            <w:r>
              <w:rPr>
                <w:sz w:val="18"/>
                <w:szCs w:val="18"/>
              </w:rPr>
              <w:tab/>
              <w:t xml:space="preserve">Page </w:t>
            </w:r>
            <w:r w:rsidR="003826A9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3826A9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3826A9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3826A9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3826A9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6</w:t>
            </w:r>
            <w:r w:rsidR="003826A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826A9" w:rsidRDefault="003826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6A9" w:rsidRDefault="00587266">
      <w:r>
        <w:separator/>
      </w:r>
    </w:p>
  </w:footnote>
  <w:footnote w:type="continuationSeparator" w:id="0">
    <w:p w:rsidR="003826A9" w:rsidRDefault="00587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>
        <v:imagedata r:id="rId1" o:title=""/>
      </v:shape>
    </w:pict>
  </w:numPicBullet>
  <w:abstractNum w:abstractNumId="0">
    <w:nsid w:val="00404F5F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5C4FE8"/>
    <w:multiLevelType w:val="hybridMultilevel"/>
    <w:tmpl w:val="6CCC4C20"/>
    <w:lvl w:ilvl="0" w:tplc="DBD2AC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B99C136E">
      <w:numFmt w:val="bullet"/>
      <w:lvlText w:val=""/>
      <w:lvlJc w:val="left"/>
      <w:pPr>
        <w:tabs>
          <w:tab w:val="num" w:pos="1713"/>
        </w:tabs>
        <w:ind w:left="1713" w:hanging="453"/>
      </w:pPr>
      <w:rPr>
        <w:rFonts w:ascii="Symbol" w:hAnsi="Symbol" w:hint="default"/>
        <w:b/>
        <w:i w:val="0"/>
        <w:sz w:val="16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336626"/>
    <w:multiLevelType w:val="multilevel"/>
    <w:tmpl w:val="4296BFC6"/>
    <w:lvl w:ilvl="0">
      <w:numFmt w:val="bullet"/>
      <w:lvlText w:val=""/>
      <w:lvlJc w:val="left"/>
      <w:pPr>
        <w:tabs>
          <w:tab w:val="num" w:pos="2114"/>
        </w:tabs>
        <w:ind w:left="2114" w:hanging="453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lvlText w:val="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>
    <w:nsid w:val="11505BF1"/>
    <w:multiLevelType w:val="singleLevel"/>
    <w:tmpl w:val="6ED69D18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2"/>
      </w:rPr>
    </w:lvl>
  </w:abstractNum>
  <w:abstractNum w:abstractNumId="4">
    <w:nsid w:val="18F24054"/>
    <w:multiLevelType w:val="hybridMultilevel"/>
    <w:tmpl w:val="4296BFC6"/>
    <w:lvl w:ilvl="0" w:tplc="DE4482DA">
      <w:numFmt w:val="bullet"/>
      <w:lvlText w:val=""/>
      <w:lvlJc w:val="left"/>
      <w:pPr>
        <w:tabs>
          <w:tab w:val="num" w:pos="2114"/>
        </w:tabs>
        <w:ind w:left="2114" w:hanging="453"/>
      </w:pPr>
      <w:rPr>
        <w:rFonts w:ascii="Symbol" w:hAnsi="Symbol" w:hint="default"/>
        <w:b/>
        <w:i w:val="0"/>
        <w:sz w:val="18"/>
      </w:rPr>
    </w:lvl>
    <w:lvl w:ilvl="1" w:tplc="379EFE6E">
      <w:start w:val="1"/>
      <w:numFmt w:val="bullet"/>
      <w:lvlText w:val="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>
    <w:nsid w:val="22392A2C"/>
    <w:multiLevelType w:val="hybridMultilevel"/>
    <w:tmpl w:val="06C4054A"/>
    <w:lvl w:ilvl="0" w:tplc="E4A08478">
      <w:start w:val="1"/>
      <w:numFmt w:val="bullet"/>
      <w:lvlText w:val=""/>
      <w:lvlJc w:val="left"/>
      <w:pPr>
        <w:tabs>
          <w:tab w:val="num" w:pos="2115"/>
        </w:tabs>
        <w:ind w:left="2115" w:hanging="454"/>
      </w:pPr>
      <w:rPr>
        <w:rFonts w:ascii="Symbol" w:hAnsi="Symbol" w:hint="default"/>
        <w:sz w:val="22"/>
        <w:szCs w:val="20"/>
      </w:rPr>
    </w:lvl>
    <w:lvl w:ilvl="1" w:tplc="87AE9CE8">
      <w:start w:val="1"/>
      <w:numFmt w:val="bullet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u w:val="none"/>
        <w:effect w:val="none"/>
        <w:vertAlign w:val="baseline"/>
      </w:rPr>
    </w:lvl>
    <w:lvl w:ilvl="2" w:tplc="7188DD3E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3" w:tplc="39FE17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65DD3"/>
    <w:multiLevelType w:val="hybridMultilevel"/>
    <w:tmpl w:val="604EFD36"/>
    <w:lvl w:ilvl="0" w:tplc="E3DE483E">
      <w:start w:val="1"/>
      <w:numFmt w:val="bullet"/>
      <w:lvlText w:val=""/>
      <w:lvlJc w:val="left"/>
      <w:pPr>
        <w:tabs>
          <w:tab w:val="num" w:pos="2115"/>
        </w:tabs>
        <w:ind w:left="2115" w:hanging="454"/>
      </w:pPr>
      <w:rPr>
        <w:rFonts w:ascii="Symbol" w:hAnsi="Symbol" w:hint="default"/>
        <w:sz w:val="22"/>
        <w:szCs w:val="20"/>
      </w:rPr>
    </w:lvl>
    <w:lvl w:ilvl="1" w:tplc="87AE9CE8">
      <w:start w:val="1"/>
      <w:numFmt w:val="bullet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u w:val="none"/>
        <w:effect w:val="none"/>
        <w:vertAlign w:val="baseline"/>
      </w:rPr>
    </w:lvl>
    <w:lvl w:ilvl="2" w:tplc="7188DD3E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3" w:tplc="39FE17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407F52"/>
    <w:multiLevelType w:val="hybridMultilevel"/>
    <w:tmpl w:val="7D521F6C"/>
    <w:lvl w:ilvl="0" w:tplc="BA784622">
      <w:start w:val="1"/>
      <w:numFmt w:val="bullet"/>
      <w:pStyle w:val="item1"/>
      <w:lvlText w:val=""/>
      <w:lvlJc w:val="left"/>
      <w:pPr>
        <w:tabs>
          <w:tab w:val="num" w:pos="1180"/>
        </w:tabs>
        <w:ind w:left="1103" w:hanging="283"/>
      </w:pPr>
      <w:rPr>
        <w:rFonts w:ascii="Symbol" w:hAnsi="Symbol" w:hint="default"/>
        <w:sz w:val="22"/>
      </w:rPr>
    </w:lvl>
    <w:lvl w:ilvl="1" w:tplc="012E9788">
      <w:start w:val="1"/>
      <w:numFmt w:val="bullet"/>
      <w:lvlText w:val=""/>
      <w:lvlJc w:val="left"/>
      <w:pPr>
        <w:tabs>
          <w:tab w:val="num" w:pos="1446"/>
        </w:tabs>
        <w:ind w:left="1446" w:hanging="397"/>
      </w:pPr>
      <w:rPr>
        <w:rFonts w:ascii="Symbol" w:hAnsi="Symbol" w:hint="default"/>
        <w:sz w:val="16"/>
      </w:rPr>
    </w:lvl>
    <w:lvl w:ilvl="2" w:tplc="517A32D0">
      <w:start w:val="1"/>
      <w:numFmt w:val="bullet"/>
      <w:lvlText w:val=""/>
      <w:lvlPicBulletId w:val="0"/>
      <w:lvlJc w:val="left"/>
      <w:pPr>
        <w:tabs>
          <w:tab w:val="num" w:pos="2166"/>
        </w:tabs>
        <w:ind w:left="2166" w:hanging="397"/>
      </w:pPr>
      <w:rPr>
        <w:rFonts w:ascii="Symbol" w:hAnsi="Symbol" w:hint="default"/>
        <w:color w:val="auto"/>
        <w:sz w:val="16"/>
      </w:rPr>
    </w:lvl>
    <w:lvl w:ilvl="3" w:tplc="BA784622">
      <w:start w:val="1"/>
      <w:numFmt w:val="bullet"/>
      <w:lvlText w:val=""/>
      <w:lvlJc w:val="left"/>
      <w:pPr>
        <w:tabs>
          <w:tab w:val="num" w:pos="2849"/>
        </w:tabs>
        <w:ind w:left="2772" w:hanging="283"/>
      </w:pPr>
      <w:rPr>
        <w:rFonts w:ascii="Symbol" w:hAnsi="Symbol" w:hint="default"/>
        <w:sz w:val="22"/>
      </w:rPr>
    </w:lvl>
    <w:lvl w:ilvl="4" w:tplc="040C0003">
      <w:start w:val="1"/>
      <w:numFmt w:val="decimal"/>
      <w:lvlText w:val="%5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024"/>
        </w:tabs>
        <w:ind w:left="6024" w:hanging="360"/>
      </w:pPr>
      <w:rPr>
        <w:rFonts w:cs="Times New Roman"/>
      </w:rPr>
    </w:lvl>
  </w:abstractNum>
  <w:abstractNum w:abstractNumId="8">
    <w:nsid w:val="39C14FFC"/>
    <w:multiLevelType w:val="multilevel"/>
    <w:tmpl w:val="9ADEE72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4C337B04"/>
    <w:multiLevelType w:val="multilevel"/>
    <w:tmpl w:val="604EFD36"/>
    <w:lvl w:ilvl="0">
      <w:start w:val="1"/>
      <w:numFmt w:val="bullet"/>
      <w:lvlText w:val=""/>
      <w:lvlJc w:val="left"/>
      <w:pPr>
        <w:tabs>
          <w:tab w:val="num" w:pos="2115"/>
        </w:tabs>
        <w:ind w:left="2115" w:hanging="454"/>
      </w:pPr>
      <w:rPr>
        <w:rFonts w:ascii="Symbol" w:hAnsi="Symbol" w:hint="default"/>
        <w:sz w:val="22"/>
        <w:szCs w:val="20"/>
      </w:rPr>
    </w:lvl>
    <w:lvl w:ilvl="1">
      <w:start w:val="1"/>
      <w:numFmt w:val="bullet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u w:val="none"/>
        <w:effect w:val="none"/>
        <w:vertAlign w:val="baseline"/>
      </w:rPr>
    </w:lvl>
    <w:lvl w:ilvl="2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E0C8C"/>
    <w:multiLevelType w:val="hybridMultilevel"/>
    <w:tmpl w:val="181A1712"/>
    <w:lvl w:ilvl="0" w:tplc="08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3D74D932">
      <w:numFmt w:val="bullet"/>
      <w:lvlText w:val=""/>
      <w:lvlJc w:val="left"/>
      <w:pPr>
        <w:tabs>
          <w:tab w:val="num" w:pos="3104"/>
        </w:tabs>
        <w:ind w:left="3104" w:hanging="453"/>
      </w:pPr>
      <w:rPr>
        <w:rFonts w:ascii="Symbol" w:hAnsi="Symbol" w:hint="default"/>
        <w:b/>
        <w:i w:val="0"/>
        <w:sz w:val="14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13B6D77"/>
    <w:multiLevelType w:val="multilevel"/>
    <w:tmpl w:val="040C001D"/>
    <w:styleLink w:val="Style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1068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62564D5"/>
    <w:multiLevelType w:val="hybridMultilevel"/>
    <w:tmpl w:val="E6643460"/>
    <w:lvl w:ilvl="0" w:tplc="92822E3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826A9"/>
    <w:rsid w:val="003826A9"/>
    <w:rsid w:val="0058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6A9"/>
    <w:rPr>
      <w:sz w:val="22"/>
      <w:lang w:val="fr-FR" w:eastAsia="fr-FR"/>
    </w:rPr>
  </w:style>
  <w:style w:type="paragraph" w:styleId="Titre1">
    <w:name w:val="heading 1"/>
    <w:basedOn w:val="Normal"/>
    <w:next w:val="Normal"/>
    <w:qFormat/>
    <w:rsid w:val="003826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4">
    <w:name w:val="heading 4"/>
    <w:basedOn w:val="Normal"/>
    <w:next w:val="Normal"/>
    <w:qFormat/>
    <w:rsid w:val="003826A9"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3826A9"/>
    <w:pPr>
      <w:tabs>
        <w:tab w:val="left" w:pos="284"/>
      </w:tabs>
    </w:pPr>
    <w:rPr>
      <w:b/>
      <w:lang w:val="fr-BE"/>
    </w:rPr>
  </w:style>
  <w:style w:type="numbering" w:customStyle="1" w:styleId="Style2">
    <w:name w:val="Style2"/>
    <w:rsid w:val="003826A9"/>
    <w:pPr>
      <w:numPr>
        <w:numId w:val="1"/>
      </w:numPr>
    </w:pPr>
  </w:style>
  <w:style w:type="paragraph" w:customStyle="1" w:styleId="Texte">
    <w:name w:val="Texte"/>
    <w:basedOn w:val="Normal"/>
    <w:rsid w:val="003826A9"/>
    <w:rPr>
      <w:rFonts w:ascii="MS Serif" w:hAnsi="MS Serif"/>
      <w:noProof/>
    </w:rPr>
  </w:style>
  <w:style w:type="paragraph" w:styleId="Pieddepage">
    <w:name w:val="footer"/>
    <w:basedOn w:val="Normal"/>
    <w:link w:val="PieddepageCar"/>
    <w:uiPriority w:val="99"/>
    <w:rsid w:val="003826A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Corpsdetexte">
    <w:name w:val="Body Text"/>
    <w:basedOn w:val="Normal"/>
    <w:rsid w:val="003826A9"/>
    <w:rPr>
      <w:rFonts w:ascii="Bookman Old Style" w:hAnsi="Bookman Old Style"/>
      <w:szCs w:val="24"/>
    </w:rPr>
  </w:style>
  <w:style w:type="character" w:styleId="Marquedecommentaire">
    <w:name w:val="annotation reference"/>
    <w:semiHidden/>
    <w:rsid w:val="003826A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3826A9"/>
    <w:rPr>
      <w:rFonts w:ascii="Bookman Old Style" w:hAnsi="Bookman Old Style"/>
      <w:sz w:val="20"/>
    </w:rPr>
  </w:style>
  <w:style w:type="character" w:customStyle="1" w:styleId="CommentaireCar">
    <w:name w:val="Commentaire Car"/>
    <w:link w:val="Commentaire"/>
    <w:semiHidden/>
    <w:locked/>
    <w:rsid w:val="003826A9"/>
    <w:rPr>
      <w:rFonts w:ascii="Bookman Old Style" w:hAnsi="Bookman Old Style"/>
      <w:lang w:val="fr-FR" w:eastAsia="fr-FR" w:bidi="ar-SA"/>
    </w:rPr>
  </w:style>
  <w:style w:type="paragraph" w:styleId="Corpsdetexte3">
    <w:name w:val="Body Text 3"/>
    <w:basedOn w:val="Normal"/>
    <w:rsid w:val="003826A9"/>
    <w:pPr>
      <w:spacing w:after="120"/>
    </w:pPr>
    <w:rPr>
      <w:rFonts w:ascii="Bookman Old Style" w:hAnsi="Bookman Old Style"/>
      <w:sz w:val="16"/>
      <w:szCs w:val="16"/>
    </w:rPr>
  </w:style>
  <w:style w:type="paragraph" w:customStyle="1" w:styleId="item1">
    <w:name w:val="item1"/>
    <w:basedOn w:val="Normal"/>
    <w:rsid w:val="003826A9"/>
    <w:pPr>
      <w:numPr>
        <w:numId w:val="5"/>
      </w:numPr>
    </w:pPr>
    <w:rPr>
      <w:rFonts w:eastAsia="Calibri"/>
      <w:sz w:val="24"/>
      <w:szCs w:val="24"/>
    </w:rPr>
  </w:style>
  <w:style w:type="paragraph" w:styleId="Notedebasdepage">
    <w:name w:val="footnote text"/>
    <w:basedOn w:val="Normal"/>
    <w:semiHidden/>
    <w:rsid w:val="003826A9"/>
    <w:rPr>
      <w:rFonts w:ascii="Bookman Old Style" w:hAnsi="Bookman Old Style"/>
      <w:sz w:val="20"/>
    </w:rPr>
  </w:style>
  <w:style w:type="character" w:styleId="Appelnotedebasdep">
    <w:name w:val="footnote reference"/>
    <w:semiHidden/>
    <w:rsid w:val="003826A9"/>
    <w:rPr>
      <w:vertAlign w:val="superscript"/>
    </w:rPr>
  </w:style>
  <w:style w:type="paragraph" w:styleId="Textedebulles">
    <w:name w:val="Balloon Text"/>
    <w:basedOn w:val="Normal"/>
    <w:semiHidden/>
    <w:rsid w:val="003826A9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826A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826A9"/>
  </w:style>
  <w:style w:type="paragraph" w:styleId="Objetducommentaire">
    <w:name w:val="annotation subject"/>
    <w:basedOn w:val="Commentaire"/>
    <w:next w:val="Commentaire"/>
    <w:semiHidden/>
    <w:rsid w:val="003826A9"/>
    <w:rPr>
      <w:rFonts w:ascii="Times New Roman" w:hAnsi="Times New Roman"/>
      <w:b/>
      <w:bCs/>
    </w:rPr>
  </w:style>
  <w:style w:type="paragraph" w:styleId="Paragraphedeliste">
    <w:name w:val="List Paragraph"/>
    <w:basedOn w:val="Normal"/>
    <w:uiPriority w:val="34"/>
    <w:qFormat/>
    <w:rsid w:val="003826A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826A9"/>
    <w:rPr>
      <w:sz w:val="24"/>
      <w:szCs w:val="24"/>
      <w:lang w:val="fr-FR" w:eastAsia="fr-FR"/>
    </w:rPr>
  </w:style>
  <w:style w:type="paragraph" w:styleId="Retraitcorpsdetexte">
    <w:name w:val="Body Text Indent"/>
    <w:basedOn w:val="Normal"/>
    <w:link w:val="RetraitcorpsdetexteCar"/>
    <w:rsid w:val="003826A9"/>
    <w:pPr>
      <w:spacing w:after="120"/>
      <w:ind w:left="283"/>
    </w:pPr>
    <w:rPr>
      <w:sz w:val="20"/>
    </w:rPr>
  </w:style>
  <w:style w:type="character" w:customStyle="1" w:styleId="RetraitcorpsdetexteCar">
    <w:name w:val="Retrait corps de texte Car"/>
    <w:basedOn w:val="Policepardfaut"/>
    <w:link w:val="Retraitcorpsdetexte"/>
    <w:rsid w:val="003826A9"/>
    <w:rPr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1357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H. Sbille</dc:creator>
  <cp:keywords/>
  <dc:description/>
  <cp:lastModifiedBy>Audrey Faniel</cp:lastModifiedBy>
  <cp:revision>8</cp:revision>
  <cp:lastPrinted>2012-02-11T12:51:00Z</cp:lastPrinted>
  <dcterms:created xsi:type="dcterms:W3CDTF">2018-04-14T16:22:00Z</dcterms:created>
  <dcterms:modified xsi:type="dcterms:W3CDTF">2020-01-23T10:19:00Z</dcterms:modified>
</cp:coreProperties>
</file>