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e"/>
        <w:jc w:val="center"/>
        <w:rPr>
          <w:rFonts w:ascii="Times New Roman" w:hAnsi="Times New Roman"/>
          <w:b/>
        </w:rPr>
      </w:pPr>
      <w:r>
        <w:rPr>
          <w:rFonts w:ascii="Times New Roman" w:hAnsi="Times New Roman"/>
          <w:b/>
        </w:rPr>
        <w:t>MINISTERE DE LA COMMUNAUTE FRANCAISE</w:t>
      </w:r>
    </w:p>
    <w:p>
      <w:pPr>
        <w:pStyle w:val="Texte"/>
        <w:jc w:val="center"/>
        <w:rPr>
          <w:rFonts w:ascii="Times New Roman" w:hAnsi="Times New Roman"/>
          <w:b/>
          <w:lang w:val="fr-FR"/>
        </w:rPr>
      </w:pPr>
    </w:p>
    <w:p>
      <w:pPr>
        <w:pStyle w:val="Texte"/>
        <w:jc w:val="center"/>
        <w:rPr>
          <w:rFonts w:ascii="Times New Roman" w:hAnsi="Times New Roman"/>
          <w:b/>
          <w:sz w:val="18"/>
          <w:lang w:val="fr-FR"/>
        </w:rPr>
      </w:pPr>
      <w:r>
        <w:rPr>
          <w:rFonts w:ascii="Times New Roman" w:hAnsi="Times New Roman"/>
          <w:b/>
          <w:sz w:val="18"/>
          <w:lang w:val="fr-FR"/>
        </w:rPr>
        <w:t>ADMINISTRATION GENERALE DE L’ENSEIGNEMENT</w:t>
      </w:r>
    </w:p>
    <w:p>
      <w:pPr>
        <w:pStyle w:val="Texte"/>
        <w:jc w:val="center"/>
        <w:rPr>
          <w:rFonts w:ascii="Times New Roman" w:hAnsi="Times New Roman"/>
          <w:lang w:val="fr-FR"/>
        </w:rPr>
      </w:pPr>
    </w:p>
    <w:p>
      <w:pPr>
        <w:pStyle w:val="Texte"/>
        <w:jc w:val="center"/>
        <w:rPr>
          <w:rFonts w:ascii="Times New Roman" w:hAnsi="Times New Roman"/>
          <w:b/>
          <w:lang w:val="fr-FR"/>
        </w:rPr>
      </w:pPr>
      <w:r>
        <w:rPr>
          <w:rFonts w:ascii="Times New Roman" w:hAnsi="Times New Roman"/>
          <w:b/>
          <w:lang w:val="fr-FR"/>
        </w:rPr>
        <w:t xml:space="preserve">ENSEIGNEMENT DE PROMOTION SOCIALE </w:t>
      </w: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itre2"/>
        <w:tabs>
          <w:tab w:val="left" w:pos="0"/>
        </w:tabs>
        <w:rPr>
          <w:sz w:val="28"/>
        </w:rPr>
      </w:pPr>
      <w:r>
        <w:rPr>
          <w:sz w:val="28"/>
        </w:rPr>
        <w:t>DOSSIER PEDAGOGIQUE</w:t>
      </w:r>
    </w:p>
    <w:p>
      <w:pPr>
        <w:pStyle w:val="Titre1"/>
      </w:pPr>
    </w:p>
    <w:p>
      <w:pPr>
        <w:pStyle w:val="Titre2"/>
        <w:rPr>
          <w:caps/>
        </w:rPr>
      </w:pPr>
      <w:r>
        <w:t>UNITE D'ENSEIGNEMENT</w:t>
      </w:r>
    </w:p>
    <w:p>
      <w:pPr>
        <w:jc w:val="center"/>
        <w:rPr>
          <w:b/>
          <w:bCs/>
        </w:rPr>
      </w:pPr>
    </w:p>
    <w:p>
      <w:pPr>
        <w:jc w:val="center"/>
        <w:rPr>
          <w:b/>
          <w:bCs/>
        </w:rPr>
      </w:pPr>
    </w:p>
    <w:p>
      <w:pPr>
        <w:jc w:val="center"/>
        <w:rPr>
          <w:b/>
          <w:bCs/>
        </w:rPr>
      </w:pPr>
    </w:p>
    <w:p>
      <w:pPr>
        <w:jc w:val="center"/>
        <w:rPr>
          <w:b/>
          <w:bCs/>
        </w:rPr>
      </w:pPr>
    </w:p>
    <w:p>
      <w:pPr>
        <w:jc w:val="center"/>
        <w:rPr>
          <w:rFonts w:ascii="Times New Roman Gras" w:hAnsi="Times New Roman Gras"/>
          <w:b/>
          <w:bCs/>
          <w:caps/>
          <w:szCs w:val="22"/>
        </w:rPr>
      </w:pPr>
      <w:bookmarkStart w:id="0" w:name="_Hlk9929828"/>
      <w:r>
        <w:rPr>
          <w:rFonts w:ascii="Times New Roman Gras" w:hAnsi="Times New Roman Gras"/>
          <w:b/>
          <w:bCs/>
          <w:caps/>
          <w:szCs w:val="22"/>
        </w:rPr>
        <w:t xml:space="preserve">Formation initiale obligatoire </w:t>
      </w:r>
    </w:p>
    <w:p>
      <w:pPr>
        <w:jc w:val="center"/>
        <w:rPr>
          <w:rFonts w:ascii="Times New Roman Gras" w:hAnsi="Times New Roman Gras"/>
          <w:b/>
          <w:bCs/>
          <w:caps/>
          <w:szCs w:val="22"/>
        </w:rPr>
      </w:pPr>
      <w:r>
        <w:rPr>
          <w:rFonts w:ascii="Times New Roman Gras" w:hAnsi="Times New Roman Gras"/>
          <w:b/>
          <w:bCs/>
          <w:caps/>
          <w:szCs w:val="22"/>
        </w:rPr>
        <w:t>des directeurs – et directrices de l’enseignement :</w:t>
      </w:r>
    </w:p>
    <w:p>
      <w:pPr>
        <w:jc w:val="center"/>
        <w:rPr>
          <w:rFonts w:ascii="Times New Roman Gras" w:hAnsi="Times New Roman Gras"/>
          <w:b/>
          <w:bCs/>
          <w:caps/>
          <w:szCs w:val="22"/>
        </w:rPr>
      </w:pPr>
      <w:r>
        <w:rPr>
          <w:rFonts w:ascii="Times New Roman Gras" w:hAnsi="Times New Roman Gras"/>
          <w:b/>
          <w:bCs/>
          <w:caps/>
          <w:szCs w:val="22"/>
        </w:rPr>
        <w:t>AXE PILOTAGE</w:t>
      </w:r>
    </w:p>
    <w:p>
      <w:pPr>
        <w:jc w:val="center"/>
        <w:rPr>
          <w:rFonts w:ascii="Times New Roman Gras" w:hAnsi="Times New Roman Gras"/>
          <w:b/>
          <w:bCs/>
          <w:caps/>
          <w:szCs w:val="22"/>
        </w:rPr>
      </w:pPr>
      <w:r>
        <w:rPr>
          <w:rFonts w:ascii="Times New Roman Gras" w:hAnsi="Times New Roman Gras"/>
          <w:b/>
          <w:bCs/>
          <w:caps/>
          <w:szCs w:val="22"/>
        </w:rPr>
        <w:t xml:space="preserve">Module vision pédagogique et pilotage – partie pédagogique – </w:t>
      </w:r>
    </w:p>
    <w:p>
      <w:pPr>
        <w:jc w:val="center"/>
        <w:rPr>
          <w:rFonts w:ascii="Times New Roman Gras" w:hAnsi="Times New Roman Gras"/>
          <w:b/>
          <w:bCs/>
          <w:caps/>
          <w:szCs w:val="22"/>
        </w:rPr>
      </w:pPr>
      <w:r>
        <w:rPr>
          <w:rFonts w:ascii="Times New Roman Gras" w:hAnsi="Times New Roman Gras"/>
          <w:b/>
          <w:bCs/>
          <w:caps/>
          <w:szCs w:val="22"/>
        </w:rPr>
        <w:t xml:space="preserve">Volet inter-réseaux – </w:t>
      </w:r>
    </w:p>
    <w:p>
      <w:pPr>
        <w:jc w:val="center"/>
        <w:rPr>
          <w:b/>
          <w:spacing w:val="-2"/>
          <w:sz w:val="26"/>
          <w:szCs w:val="26"/>
        </w:rPr>
      </w:pPr>
      <w:r>
        <w:rPr>
          <w:rFonts w:ascii="Times New Roman Gras" w:hAnsi="Times New Roman Gras"/>
          <w:b/>
          <w:bCs/>
          <w:caps/>
          <w:szCs w:val="22"/>
        </w:rPr>
        <w:t xml:space="preserve">Enseignement </w:t>
      </w:r>
      <w:bookmarkEnd w:id="0"/>
      <w:r>
        <w:rPr>
          <w:rFonts w:ascii="Times New Roman Gras" w:hAnsi="Times New Roman Gras"/>
          <w:b/>
          <w:bCs/>
          <w:caps/>
          <w:szCs w:val="22"/>
        </w:rPr>
        <w:t>Secondaire</w:t>
      </w:r>
    </w:p>
    <w:p>
      <w:pPr>
        <w:jc w:val="center"/>
        <w:rPr>
          <w:b/>
          <w:bCs/>
          <w:sz w:val="32"/>
          <w:szCs w:val="22"/>
        </w:rPr>
      </w:pPr>
    </w:p>
    <w:p>
      <w:pPr>
        <w:jc w:val="center"/>
        <w:rPr>
          <w:b/>
          <w:bCs/>
          <w:szCs w:val="22"/>
        </w:rPr>
      </w:pPr>
    </w:p>
    <w:p>
      <w:pPr>
        <w:jc w:val="center"/>
        <w:rPr>
          <w:b/>
          <w:bCs/>
          <w:szCs w:val="22"/>
        </w:rPr>
      </w:pPr>
    </w:p>
    <w:p>
      <w:pPr>
        <w:jc w:val="center"/>
        <w:rPr>
          <w:b/>
          <w:bCs/>
          <w:szCs w:val="22"/>
        </w:rPr>
      </w:pPr>
    </w:p>
    <w:p>
      <w:pPr>
        <w:jc w:val="center"/>
        <w:rPr>
          <w:b/>
          <w:bCs/>
          <w:szCs w:val="22"/>
        </w:rPr>
      </w:pPr>
      <w:r>
        <w:rPr>
          <w:b/>
          <w:bCs/>
          <w:szCs w:val="22"/>
        </w:rPr>
        <w:t>ENSEIGNEMENT SUPERIEUR DE TYPE COURT</w:t>
      </w:r>
    </w:p>
    <w:p>
      <w:pPr>
        <w:jc w:val="center"/>
        <w:rPr>
          <w:b/>
          <w:bCs/>
          <w:szCs w:val="22"/>
        </w:rPr>
      </w:pPr>
    </w:p>
    <w:p>
      <w:pPr>
        <w:jc w:val="center"/>
        <w:rPr>
          <w:b/>
          <w:bCs/>
          <w:szCs w:val="22"/>
        </w:rPr>
      </w:pPr>
      <w:r>
        <w:rPr>
          <w:b/>
          <w:bCs/>
          <w:szCs w:val="22"/>
        </w:rPr>
        <w:t>Domaine : Sciences psychologiques et de l'éducation</w:t>
      </w:r>
    </w:p>
    <w:p>
      <w:pPr>
        <w:rPr>
          <w:b/>
          <w:bCs/>
        </w:rPr>
      </w:pPr>
    </w:p>
    <w:p>
      <w:pPr>
        <w:rPr>
          <w:b/>
          <w:bCs/>
        </w:rPr>
      </w:pPr>
    </w:p>
    <w:p>
      <w:pPr>
        <w:rPr>
          <w:b/>
          <w:bCs/>
        </w:rPr>
      </w:pPr>
    </w:p>
    <w:p>
      <w:pPr>
        <w:rPr>
          <w:b/>
          <w:bCs/>
        </w:rPr>
      </w:pPr>
    </w:p>
    <w:p>
      <w:pPr>
        <w:rPr>
          <w:b/>
          <w:bCs/>
        </w:rPr>
      </w:pPr>
    </w:p>
    <w:tbl>
      <w:tblPr>
        <w:tblW w:w="6120" w:type="dxa"/>
        <w:jc w:val="center"/>
        <w:tblLayout w:type="fixed"/>
        <w:tblCellMar>
          <w:left w:w="71" w:type="dxa"/>
          <w:right w:w="71" w:type="dxa"/>
        </w:tblCellMar>
        <w:tblLook w:val="0000" w:firstRow="0" w:lastRow="0" w:firstColumn="0" w:lastColumn="0" w:noHBand="0" w:noVBand="0"/>
      </w:tblPr>
      <w:tblGrid>
        <w:gridCol w:w="6120"/>
      </w:tblGrid>
      <w:tr>
        <w:trPr>
          <w:jc w:val="center"/>
        </w:trPr>
        <w:tc>
          <w:tcPr>
            <w:tcW w:w="6120" w:type="dxa"/>
            <w:tcBorders>
              <w:top w:val="single" w:sz="4" w:space="0" w:color="000000"/>
              <w:left w:val="single" w:sz="4" w:space="0" w:color="000000"/>
              <w:right w:val="single" w:sz="4" w:space="0" w:color="000000"/>
            </w:tcBorders>
          </w:tcPr>
          <w:p>
            <w:pPr>
              <w:pStyle w:val="Texte"/>
              <w:snapToGrid w:val="0"/>
              <w:spacing w:after="120"/>
              <w:jc w:val="center"/>
              <w:rPr>
                <w:rFonts w:ascii="Times New Roman" w:hAnsi="Times New Roman"/>
                <w:b/>
                <w:lang w:val="nl-BE"/>
              </w:rPr>
            </w:pPr>
            <w:r>
              <w:rPr>
                <w:rFonts w:ascii="Times New Roman" w:hAnsi="Times New Roman"/>
                <w:b/>
                <w:lang w:val="nl-BE"/>
              </w:rPr>
              <w:t>CODE : 9800 41 U36 D1</w:t>
            </w:r>
          </w:p>
        </w:tc>
      </w:tr>
      <w:tr>
        <w:trPr>
          <w:jc w:val="center"/>
        </w:trPr>
        <w:tc>
          <w:tcPr>
            <w:tcW w:w="6120" w:type="dxa"/>
            <w:tcBorders>
              <w:left w:val="single" w:sz="4" w:space="0" w:color="000000"/>
              <w:right w:val="single" w:sz="4" w:space="0" w:color="000000"/>
            </w:tcBorders>
          </w:tcPr>
          <w:p>
            <w:pPr>
              <w:pStyle w:val="Texte"/>
              <w:snapToGrid w:val="0"/>
              <w:spacing w:after="120"/>
              <w:jc w:val="center"/>
              <w:rPr>
                <w:rFonts w:ascii="Times New Roman" w:hAnsi="Times New Roman"/>
                <w:b/>
              </w:rPr>
            </w:pPr>
            <w:r>
              <w:rPr>
                <w:rFonts w:ascii="Times New Roman" w:hAnsi="Times New Roman"/>
                <w:b/>
                <w:lang w:val="fr-FR" w:eastAsia="fr-FR"/>
              </w:rPr>
              <w:t>CODE DU DOMAINE DE FORMATION : 903 / 10bis</w:t>
            </w:r>
            <w:bookmarkStart w:id="1" w:name="_GoBack"/>
            <w:bookmarkEnd w:id="1"/>
          </w:p>
        </w:tc>
      </w:tr>
      <w:tr>
        <w:trPr>
          <w:jc w:val="center"/>
        </w:trPr>
        <w:tc>
          <w:tcPr>
            <w:tcW w:w="6120" w:type="dxa"/>
            <w:tcBorders>
              <w:left w:val="single" w:sz="4" w:space="0" w:color="000000"/>
              <w:bottom w:val="single" w:sz="4" w:space="0" w:color="000000"/>
              <w:right w:val="single" w:sz="4" w:space="0" w:color="000000"/>
            </w:tcBorders>
          </w:tcPr>
          <w:p>
            <w:pPr>
              <w:pStyle w:val="Texte"/>
              <w:snapToGrid w:val="0"/>
              <w:jc w:val="center"/>
              <w:rPr>
                <w:rFonts w:ascii="Times New Roman" w:hAnsi="Times New Roman"/>
                <w:b/>
                <w:lang w:val="fr-FR"/>
              </w:rPr>
            </w:pPr>
            <w:r>
              <w:rPr>
                <w:rFonts w:ascii="Times New Roman" w:hAnsi="Times New Roman"/>
                <w:b/>
                <w:lang w:val="fr-FR"/>
              </w:rPr>
              <w:t>DOCUMENT DE REFERENCE INTER-RESEAUX</w:t>
            </w:r>
          </w:p>
          <w:p>
            <w:pPr>
              <w:pStyle w:val="Texte"/>
              <w:rPr>
                <w:rFonts w:ascii="Times New Roman" w:hAnsi="Times New Roman"/>
                <w:lang w:val="fr-FR"/>
              </w:rPr>
            </w:pPr>
          </w:p>
        </w:tc>
      </w:tr>
    </w:tbl>
    <w:p/>
    <w:p/>
    <w:p/>
    <w:p/>
    <w:p/>
    <w:p>
      <w:pPr>
        <w:jc w:val="center"/>
        <w:rPr>
          <w:b/>
          <w:szCs w:val="22"/>
        </w:rPr>
      </w:pPr>
      <w:r>
        <w:rPr>
          <w:b/>
          <w:szCs w:val="22"/>
        </w:rPr>
        <w:t>Approbation du Gouvernement de la Communauté française du 24 février 2020,</w:t>
      </w:r>
    </w:p>
    <w:p>
      <w:pPr>
        <w:jc w:val="center"/>
        <w:rPr>
          <w:b/>
          <w:szCs w:val="22"/>
        </w:rPr>
      </w:pPr>
      <w:r>
        <w:rPr>
          <w:b/>
          <w:szCs w:val="22"/>
        </w:rPr>
        <w:t>sur avis conforme</w:t>
      </w:r>
      <w:r>
        <w:rPr>
          <w:b/>
          <w:szCs w:val="22"/>
          <w:lang w:eastAsia="fr-FR"/>
        </w:rPr>
        <w:t xml:space="preserve"> du Conseil général</w:t>
      </w:r>
    </w:p>
    <w:tbl>
      <w:tblPr>
        <w:tblW w:w="9387" w:type="dxa"/>
        <w:jc w:val="center"/>
        <w:tblLayout w:type="fixed"/>
        <w:tblCellMar>
          <w:left w:w="70" w:type="dxa"/>
          <w:right w:w="70" w:type="dxa"/>
        </w:tblCellMar>
        <w:tblLook w:val="0000" w:firstRow="0" w:lastRow="0" w:firstColumn="0" w:lastColumn="0" w:noHBand="0" w:noVBand="0"/>
      </w:tblPr>
      <w:tblGrid>
        <w:gridCol w:w="9387"/>
      </w:tblGrid>
      <w:tr>
        <w:trPr>
          <w:jc w:val="center"/>
        </w:trPr>
        <w:tc>
          <w:tcPr>
            <w:tcW w:w="9387" w:type="dxa"/>
            <w:tcBorders>
              <w:top w:val="single" w:sz="4" w:space="0" w:color="000000"/>
              <w:left w:val="single" w:sz="4" w:space="0" w:color="000000"/>
              <w:bottom w:val="single" w:sz="20" w:space="0" w:color="000000"/>
              <w:right w:val="single" w:sz="20" w:space="0" w:color="000000"/>
            </w:tcBorders>
          </w:tcPr>
          <w:p>
            <w:pPr>
              <w:jc w:val="center"/>
              <w:rPr>
                <w:b/>
                <w:sz w:val="26"/>
                <w:szCs w:val="26"/>
              </w:rPr>
            </w:pPr>
          </w:p>
          <w:p>
            <w:pPr>
              <w:jc w:val="center"/>
              <w:rPr>
                <w:rFonts w:ascii="Times New Roman Gras" w:hAnsi="Times New Roman Gras"/>
                <w:b/>
                <w:bCs/>
                <w:caps/>
                <w:szCs w:val="22"/>
              </w:rPr>
            </w:pPr>
            <w:r>
              <w:rPr>
                <w:rFonts w:ascii="Times New Roman Gras" w:hAnsi="Times New Roman Gras"/>
                <w:b/>
                <w:bCs/>
                <w:caps/>
                <w:szCs w:val="22"/>
              </w:rPr>
              <w:t xml:space="preserve">Formation initiale obligatoire </w:t>
            </w:r>
          </w:p>
          <w:p>
            <w:pPr>
              <w:jc w:val="center"/>
              <w:rPr>
                <w:rFonts w:ascii="Times New Roman Gras" w:hAnsi="Times New Roman Gras"/>
                <w:b/>
                <w:bCs/>
                <w:caps/>
                <w:szCs w:val="22"/>
              </w:rPr>
            </w:pPr>
            <w:r>
              <w:rPr>
                <w:rFonts w:ascii="Times New Roman Gras" w:hAnsi="Times New Roman Gras"/>
                <w:b/>
                <w:bCs/>
                <w:caps/>
                <w:szCs w:val="22"/>
              </w:rPr>
              <w:t>des directeurs – et directrices de l’enseignement :</w:t>
            </w:r>
          </w:p>
          <w:p>
            <w:pPr>
              <w:jc w:val="center"/>
              <w:rPr>
                <w:rFonts w:ascii="Times New Roman Gras" w:hAnsi="Times New Roman Gras"/>
                <w:b/>
                <w:bCs/>
                <w:caps/>
                <w:szCs w:val="22"/>
              </w:rPr>
            </w:pPr>
            <w:r>
              <w:rPr>
                <w:rFonts w:ascii="Times New Roman Gras" w:hAnsi="Times New Roman Gras"/>
                <w:b/>
                <w:bCs/>
                <w:caps/>
                <w:szCs w:val="22"/>
              </w:rPr>
              <w:t>AXE PILOTAGE</w:t>
            </w:r>
          </w:p>
          <w:p>
            <w:pPr>
              <w:jc w:val="center"/>
              <w:rPr>
                <w:rFonts w:ascii="Times New Roman Gras" w:hAnsi="Times New Roman Gras"/>
                <w:b/>
                <w:bCs/>
                <w:caps/>
                <w:szCs w:val="22"/>
              </w:rPr>
            </w:pPr>
            <w:r>
              <w:rPr>
                <w:rFonts w:ascii="Times New Roman Gras" w:hAnsi="Times New Roman Gras"/>
                <w:b/>
                <w:bCs/>
                <w:caps/>
                <w:szCs w:val="22"/>
              </w:rPr>
              <w:t xml:space="preserve">Module vision pédagogique et pilotage – partie pédagogique – </w:t>
            </w:r>
          </w:p>
          <w:p>
            <w:pPr>
              <w:jc w:val="center"/>
              <w:rPr>
                <w:rFonts w:ascii="Times New Roman Gras" w:hAnsi="Times New Roman Gras"/>
                <w:b/>
                <w:bCs/>
                <w:caps/>
                <w:szCs w:val="22"/>
              </w:rPr>
            </w:pPr>
            <w:r>
              <w:rPr>
                <w:rFonts w:ascii="Times New Roman Gras" w:hAnsi="Times New Roman Gras"/>
                <w:b/>
                <w:bCs/>
                <w:caps/>
                <w:szCs w:val="22"/>
              </w:rPr>
              <w:t xml:space="preserve">Volet inter-réseaux – </w:t>
            </w:r>
          </w:p>
          <w:p>
            <w:pPr>
              <w:jc w:val="center"/>
              <w:rPr>
                <w:b/>
                <w:spacing w:val="-2"/>
                <w:sz w:val="26"/>
                <w:szCs w:val="26"/>
              </w:rPr>
            </w:pPr>
            <w:r>
              <w:rPr>
                <w:rFonts w:ascii="Times New Roman Gras" w:hAnsi="Times New Roman Gras"/>
                <w:b/>
                <w:bCs/>
                <w:caps/>
                <w:szCs w:val="22"/>
              </w:rPr>
              <w:t>Enseignement Secondaire</w:t>
            </w:r>
          </w:p>
          <w:p>
            <w:pPr>
              <w:jc w:val="center"/>
              <w:rPr>
                <w:b/>
                <w:sz w:val="28"/>
              </w:rPr>
            </w:pPr>
          </w:p>
          <w:p>
            <w:pPr>
              <w:jc w:val="center"/>
              <w:rPr>
                <w:b/>
                <w:caps/>
              </w:rPr>
            </w:pPr>
            <w:r>
              <w:rPr>
                <w:b/>
                <w:caps/>
              </w:rPr>
              <w:t xml:space="preserve">enseignement superieur </w:t>
            </w:r>
            <w:bookmarkStart w:id="2" w:name="OLE_LINK1"/>
            <w:bookmarkStart w:id="3" w:name="OLE_LINK2"/>
            <w:r>
              <w:rPr>
                <w:b/>
                <w:caps/>
              </w:rPr>
              <w:t>de type court</w:t>
            </w:r>
            <w:bookmarkEnd w:id="2"/>
            <w:bookmarkEnd w:id="3"/>
          </w:p>
          <w:p>
            <w:pPr>
              <w:rPr>
                <w:b/>
                <w:sz w:val="28"/>
              </w:rPr>
            </w:pPr>
          </w:p>
        </w:tc>
      </w:tr>
    </w:tbl>
    <w:p/>
    <w:p/>
    <w:p>
      <w:pPr>
        <w:numPr>
          <w:ilvl w:val="0"/>
          <w:numId w:val="2"/>
        </w:numPr>
        <w:rPr>
          <w:b/>
        </w:rPr>
      </w:pPr>
      <w:r>
        <w:rPr>
          <w:b/>
        </w:rPr>
        <w:t>FINALITES DE L’UNITE D’ENSEIGNEMENT</w:t>
      </w:r>
    </w:p>
    <w:p/>
    <w:p>
      <w:pPr>
        <w:numPr>
          <w:ilvl w:val="1"/>
          <w:numId w:val="2"/>
        </w:numPr>
        <w:tabs>
          <w:tab w:val="left" w:pos="425"/>
          <w:tab w:val="left" w:pos="860"/>
        </w:tabs>
        <w:rPr>
          <w:b/>
        </w:rPr>
      </w:pPr>
      <w:r>
        <w:rPr>
          <w:b/>
        </w:rPr>
        <w:t>Finalités générales</w:t>
      </w:r>
    </w:p>
    <w:p>
      <w:pPr>
        <w:ind w:left="425"/>
        <w:rPr>
          <w:b/>
        </w:rPr>
      </w:pPr>
    </w:p>
    <w:p>
      <w:pPr>
        <w:suppressAutoHyphens w:val="0"/>
        <w:spacing w:after="120"/>
        <w:ind w:left="851"/>
        <w:jc w:val="both"/>
      </w:pPr>
      <w:r>
        <w:t>Conformément à l’article 7 du décret de la Communauté française du 16 avril 1991 organisant l'enseignement de promotion sociale, cette unité d’enseignement doit :</w:t>
      </w:r>
    </w:p>
    <w:p>
      <w:pPr>
        <w:numPr>
          <w:ilvl w:val="0"/>
          <w:numId w:val="3"/>
        </w:numPr>
        <w:suppressAutoHyphens w:val="0"/>
        <w:spacing w:after="120"/>
        <w:ind w:left="1418" w:hanging="295"/>
        <w:jc w:val="both"/>
      </w:pPr>
      <w:r>
        <w:rPr>
          <w:szCs w:val="22"/>
          <w:lang w:val="fr-BE"/>
        </w:rPr>
        <w:t>concourir</w:t>
      </w:r>
      <w:r>
        <w:t xml:space="preserve"> à l’épanouissement individuel en promouvant une meilleure insertion professionnelle, sociale, culturelle et scolaire ;</w:t>
      </w:r>
    </w:p>
    <w:p>
      <w:pPr>
        <w:numPr>
          <w:ilvl w:val="0"/>
          <w:numId w:val="3"/>
        </w:numPr>
        <w:suppressAutoHyphens w:val="0"/>
        <w:ind w:left="1418" w:hanging="294"/>
        <w:jc w:val="both"/>
      </w:pPr>
      <w:r>
        <w:rPr>
          <w:szCs w:val="22"/>
          <w:lang w:val="fr-BE"/>
        </w:rPr>
        <w:t>répondre</w:t>
      </w:r>
      <w:r>
        <w:t xml:space="preserve"> aux besoins et demandes en formation émanant des entreprises, des administrations, de l’enseignement et d’une manière générale des milieux socio-économiques et culturels.</w:t>
      </w:r>
    </w:p>
    <w:p/>
    <w:p>
      <w:pPr>
        <w:ind w:left="851" w:hanging="426"/>
        <w:rPr>
          <w:b/>
        </w:rPr>
      </w:pPr>
      <w:r>
        <w:rPr>
          <w:b/>
        </w:rPr>
        <w:t>1.2.</w:t>
      </w:r>
      <w:r>
        <w:rPr>
          <w:b/>
        </w:rPr>
        <w:tab/>
        <w:t>Finalités particulières</w:t>
      </w:r>
    </w:p>
    <w:p>
      <w:pPr>
        <w:pStyle w:val="Texte"/>
        <w:numPr>
          <w:ilvl w:val="12"/>
          <w:numId w:val="0"/>
        </w:numPr>
        <w:ind w:left="851"/>
        <w:jc w:val="both"/>
        <w:rPr>
          <w:rFonts w:ascii="Times New Roman" w:hAnsi="Times New Roman"/>
        </w:rPr>
      </w:pPr>
    </w:p>
    <w:p>
      <w:pPr>
        <w:pStyle w:val="Texte"/>
        <w:numPr>
          <w:ilvl w:val="12"/>
          <w:numId w:val="0"/>
        </w:numPr>
        <w:ind w:left="851"/>
        <w:jc w:val="both"/>
        <w:rPr>
          <w:rFonts w:ascii="Times New Roman" w:hAnsi="Times New Roman"/>
        </w:rPr>
      </w:pPr>
      <w:bookmarkStart w:id="4" w:name="FIP"/>
      <w:bookmarkEnd w:id="4"/>
    </w:p>
    <w:p>
      <w:pPr>
        <w:ind w:left="851"/>
        <w:rPr>
          <w:szCs w:val="22"/>
        </w:rPr>
      </w:pPr>
      <w:r>
        <w:rPr>
          <w:szCs w:val="22"/>
        </w:rPr>
        <w:t>Cette unité d’enseignement vise à permettre à l’étudiant à :</w:t>
      </w:r>
    </w:p>
    <w:p>
      <w:pPr>
        <w:rPr>
          <w:szCs w:val="22"/>
        </w:rPr>
      </w:pPr>
    </w:p>
    <w:p>
      <w:pPr>
        <w:pStyle w:val="Default"/>
        <w:numPr>
          <w:ilvl w:val="0"/>
          <w:numId w:val="28"/>
        </w:numPr>
        <w:spacing w:after="120"/>
        <w:ind w:left="1417" w:hanging="357"/>
        <w:jc w:val="both"/>
        <w:rPr>
          <w:color w:val="auto"/>
          <w:sz w:val="22"/>
          <w:szCs w:val="22"/>
        </w:rPr>
      </w:pPr>
      <w:r>
        <w:rPr>
          <w:rFonts w:ascii="Times New Roman" w:hAnsi="Times New Roman" w:cs="Times New Roman"/>
          <w:sz w:val="22"/>
          <w:szCs w:val="22"/>
        </w:rPr>
        <w:t>appréhender le système éducatif dans une perspective systémique</w:t>
      </w:r>
      <w:r>
        <w:rPr>
          <w:rFonts w:ascii="Times New Roman" w:hAnsi="Times New Roman" w:cs="Times New Roman"/>
          <w:color w:val="auto"/>
          <w:sz w:val="22"/>
          <w:szCs w:val="22"/>
        </w:rPr>
        <w:t>, en vue du pilotage pédagogique à exercer</w:t>
      </w:r>
      <w:r>
        <w:rPr>
          <w:color w:val="auto"/>
          <w:sz w:val="22"/>
          <w:szCs w:val="22"/>
        </w:rPr>
        <w:t> ;</w:t>
      </w:r>
    </w:p>
    <w:p>
      <w:pPr>
        <w:pStyle w:val="Paragraphedeliste"/>
        <w:numPr>
          <w:ilvl w:val="0"/>
          <w:numId w:val="28"/>
        </w:numPr>
        <w:suppressAutoHyphens w:val="0"/>
        <w:autoSpaceDE w:val="0"/>
        <w:autoSpaceDN w:val="0"/>
        <w:adjustRightInd w:val="0"/>
        <w:spacing w:after="120"/>
        <w:ind w:left="1417" w:hanging="357"/>
        <w:jc w:val="both"/>
      </w:pPr>
      <w:r>
        <w:t>identifier et comprendre les enjeux pédagogiques et éducatifs majeurs de l’enseignement secondaire en FWB dans une perspective évolutive, les valeurs qui le sous-tendent ;</w:t>
      </w:r>
    </w:p>
    <w:p>
      <w:pPr>
        <w:pStyle w:val="Paragraphedeliste"/>
        <w:numPr>
          <w:ilvl w:val="0"/>
          <w:numId w:val="28"/>
        </w:numPr>
        <w:suppressAutoHyphens w:val="0"/>
        <w:autoSpaceDE w:val="0"/>
        <w:autoSpaceDN w:val="0"/>
        <w:adjustRightInd w:val="0"/>
        <w:spacing w:after="120"/>
        <w:ind w:left="1417" w:hanging="357"/>
        <w:jc w:val="both"/>
      </w:pPr>
      <w:r>
        <w:t>s’approprier les orientations pédagogiques contenues dans les bases légales ;</w:t>
      </w:r>
    </w:p>
    <w:p>
      <w:pPr>
        <w:pStyle w:val="Paragraphedeliste"/>
        <w:numPr>
          <w:ilvl w:val="0"/>
          <w:numId w:val="28"/>
        </w:numPr>
        <w:suppressAutoHyphens w:val="0"/>
        <w:spacing w:before="60" w:after="60"/>
        <w:ind w:left="1417" w:hanging="357"/>
        <w:contextualSpacing/>
        <w:jc w:val="both"/>
      </w:pPr>
      <w:r>
        <w:t>s’approprier différents concepts et connaissances de base (à partir des recherches scientifiques) en lien avec les différents objets précisés.</w:t>
      </w:r>
    </w:p>
    <w:p>
      <w:pPr>
        <w:pStyle w:val="Paragraphedeliste"/>
        <w:suppressAutoHyphens w:val="0"/>
        <w:spacing w:after="240"/>
        <w:contextualSpacing/>
        <w:jc w:val="both"/>
      </w:pPr>
    </w:p>
    <w:p>
      <w:pPr>
        <w:numPr>
          <w:ilvl w:val="0"/>
          <w:numId w:val="2"/>
        </w:numPr>
        <w:rPr>
          <w:b/>
        </w:rPr>
      </w:pPr>
      <w:r>
        <w:rPr>
          <w:b/>
        </w:rPr>
        <w:t>CAPACITES PREALABLES REQUISES</w:t>
      </w:r>
    </w:p>
    <w:p>
      <w:pPr>
        <w:rPr>
          <w:b/>
        </w:rPr>
      </w:pPr>
    </w:p>
    <w:p>
      <w:pPr>
        <w:ind w:left="426"/>
        <w:jc w:val="both"/>
        <w:rPr>
          <w:szCs w:val="22"/>
          <w:lang w:eastAsia="en-US"/>
        </w:rPr>
      </w:pPr>
    </w:p>
    <w:p>
      <w:pPr>
        <w:ind w:left="426"/>
        <w:jc w:val="both"/>
        <w:rPr>
          <w:szCs w:val="22"/>
          <w:lang w:eastAsia="en-US"/>
        </w:rPr>
      </w:pPr>
      <w:r>
        <w:rPr>
          <w:szCs w:val="22"/>
          <w:lang w:eastAsia="en-US"/>
        </w:rPr>
        <w:t xml:space="preserve">En application de l’article 10 §3 du décret du 2 février 2007 tel que modifié, le module inter-réseaux, axe administratif doit être suivi préalablement […]  à la première partie du module vision pédagogique et pilotage de la formation inter-réseaux. </w:t>
      </w:r>
    </w:p>
    <w:p>
      <w:pPr>
        <w:ind w:left="426"/>
        <w:jc w:val="both"/>
        <w:rPr>
          <w:szCs w:val="22"/>
          <w:lang w:eastAsia="en-US"/>
        </w:rPr>
      </w:pPr>
    </w:p>
    <w:p>
      <w:pPr>
        <w:ind w:left="426"/>
        <w:jc w:val="both"/>
        <w:rPr>
          <w:szCs w:val="22"/>
          <w:lang w:eastAsia="en-US"/>
        </w:rPr>
      </w:pPr>
      <w:r>
        <w:rPr>
          <w:szCs w:val="22"/>
          <w:lang w:eastAsia="en-US"/>
        </w:rPr>
        <w:t>Le candidat doit en outre remplir les conditions d’accès fixées à l’article 16 du décret du 2 février 2007.</w:t>
      </w:r>
    </w:p>
    <w:p>
      <w:pPr>
        <w:jc w:val="both"/>
        <w:rPr>
          <w:szCs w:val="22"/>
          <w:lang w:eastAsia="en-US"/>
        </w:rPr>
      </w:pPr>
    </w:p>
    <w:p>
      <w:pPr>
        <w:jc w:val="both"/>
        <w:rPr>
          <w:szCs w:val="22"/>
          <w:lang w:eastAsia="en-US"/>
        </w:rPr>
      </w:pPr>
    </w:p>
    <w:p>
      <w:pPr>
        <w:jc w:val="both"/>
        <w:rPr>
          <w:szCs w:val="22"/>
          <w:lang w:eastAsia="en-US"/>
        </w:rPr>
      </w:pPr>
    </w:p>
    <w:p/>
    <w:p>
      <w:pPr>
        <w:ind w:left="425"/>
        <w:rPr>
          <w:b/>
        </w:rPr>
      </w:pPr>
      <w:r>
        <w:rPr>
          <w:b/>
        </w:rPr>
        <w:t>2.1. Titre pouvant en tenir lieu</w:t>
      </w:r>
    </w:p>
    <w:p>
      <w:pPr>
        <w:rPr>
          <w:szCs w:val="22"/>
        </w:rPr>
      </w:pPr>
    </w:p>
    <w:p>
      <w:pPr>
        <w:ind w:left="426"/>
        <w:jc w:val="both"/>
        <w:rPr>
          <w:szCs w:val="22"/>
        </w:rPr>
      </w:pPr>
      <w:r>
        <w:rPr>
          <w:szCs w:val="22"/>
          <w:lang w:eastAsia="en-US"/>
        </w:rPr>
        <w:t>Attestation de suivi ou de réussite du module Formation initiale obligatoire des directeurs : Axe administratif -Volet inter-réseaux</w:t>
      </w:r>
      <w:r>
        <w:rPr>
          <w:szCs w:val="22"/>
        </w:rPr>
        <w:t>.</w:t>
      </w:r>
    </w:p>
    <w:p>
      <w:pPr>
        <w:ind w:left="426"/>
        <w:jc w:val="both"/>
        <w:rPr>
          <w:szCs w:val="22"/>
          <w:lang w:eastAsia="en-US"/>
        </w:rPr>
      </w:pPr>
    </w:p>
    <w:p/>
    <w:p>
      <w:pPr>
        <w:numPr>
          <w:ilvl w:val="0"/>
          <w:numId w:val="2"/>
        </w:numPr>
        <w:rPr>
          <w:b/>
        </w:rPr>
      </w:pPr>
      <w:r>
        <w:rPr>
          <w:b/>
        </w:rPr>
        <w:t xml:space="preserve">ACQUIS D’APPRENTISSAGE </w:t>
      </w:r>
    </w:p>
    <w:p>
      <w:pPr>
        <w:spacing w:before="120"/>
        <w:ind w:left="426"/>
        <w:rPr>
          <w:b/>
        </w:rPr>
      </w:pPr>
    </w:p>
    <w:p>
      <w:pPr>
        <w:ind w:left="426"/>
        <w:rPr>
          <w:i/>
          <w:iCs/>
          <w:szCs w:val="22"/>
        </w:rPr>
      </w:pPr>
      <w:r>
        <w:rPr>
          <w:i/>
          <w:iCs/>
          <w:szCs w:val="22"/>
        </w:rPr>
        <w:t>N.B. En vertu de l’article 15 §1 du décret du 2 février 2007 fixant le statut des directeurs, les candidats sont soit admis, soit refusés. Nul classement n’est établi.</w:t>
      </w:r>
    </w:p>
    <w:p>
      <w:pPr>
        <w:spacing w:before="120"/>
        <w:ind w:left="426"/>
        <w:rPr>
          <w:b/>
        </w:rPr>
      </w:pPr>
    </w:p>
    <w:p>
      <w:pPr>
        <w:spacing w:before="120"/>
        <w:ind w:left="426"/>
        <w:rPr>
          <w:b/>
        </w:rPr>
      </w:pPr>
      <w:r>
        <w:rPr>
          <w:b/>
        </w:rPr>
        <w:t xml:space="preserve">Pour atteindre le seuil de réussite, l’étudiant sera capable, </w:t>
      </w:r>
    </w:p>
    <w:p>
      <w:pPr>
        <w:spacing w:before="120"/>
        <w:ind w:left="426"/>
        <w:rPr>
          <w:i/>
        </w:rPr>
      </w:pPr>
      <w:r>
        <w:rPr>
          <w:i/>
        </w:rPr>
        <w:t>au travers d’un travail écrit et/ou d’un exposé oral,</w:t>
      </w:r>
    </w:p>
    <w:p>
      <w:pPr>
        <w:spacing w:before="120"/>
        <w:ind w:left="426"/>
        <w:rPr>
          <w:i/>
        </w:rPr>
      </w:pPr>
      <w:r>
        <w:rPr>
          <w:i/>
        </w:rPr>
        <w:t>à partir d’une situation courante relevant de la gestion pédagogique d’un établissement d’enseignement secondaire,</w:t>
      </w:r>
    </w:p>
    <w:p>
      <w:pPr>
        <w:spacing w:before="120"/>
        <w:ind w:left="426"/>
        <w:rPr>
          <w:i/>
        </w:rPr>
      </w:pPr>
    </w:p>
    <w:p>
      <w:pPr>
        <w:pStyle w:val="Paragraphedeliste"/>
        <w:numPr>
          <w:ilvl w:val="0"/>
          <w:numId w:val="35"/>
        </w:numPr>
        <w:spacing w:before="120"/>
        <w:ind w:left="993"/>
        <w:jc w:val="both"/>
        <w:rPr>
          <w:lang w:val="fr-BE"/>
        </w:rPr>
      </w:pPr>
      <w:r>
        <w:t xml:space="preserve">de présenter </w:t>
      </w:r>
      <w:r>
        <w:rPr>
          <w:lang w:val="fr-BE"/>
        </w:rPr>
        <w:t>une vision de l’action pédagogique d’une direction de l’enseignement secondaire</w:t>
      </w:r>
      <w:r>
        <w:rPr>
          <w:i/>
        </w:rPr>
        <w:t xml:space="preserve">, </w:t>
      </w:r>
      <w:r>
        <w:t>en adéquation avec les objectifs généraux définis par la Communauté française :</w:t>
      </w:r>
    </w:p>
    <w:p>
      <w:pPr>
        <w:pStyle w:val="Listepuces2"/>
        <w:numPr>
          <w:ilvl w:val="0"/>
          <w:numId w:val="39"/>
        </w:numPr>
        <w:rPr>
          <w:i w:val="0"/>
          <w:lang w:val="fr-BE"/>
        </w:rPr>
      </w:pPr>
      <w:r>
        <w:rPr>
          <w:i w:val="0"/>
          <w:lang w:val="fr-BE"/>
        </w:rPr>
        <w:t>s’inscrivant dans une approche systémique du système éducatif,</w:t>
      </w:r>
    </w:p>
    <w:p>
      <w:pPr>
        <w:pStyle w:val="Listepuces2"/>
        <w:numPr>
          <w:ilvl w:val="0"/>
          <w:numId w:val="39"/>
        </w:numPr>
        <w:rPr>
          <w:i w:val="0"/>
          <w:lang w:val="fr-BE"/>
        </w:rPr>
      </w:pPr>
      <w:r>
        <w:rPr>
          <w:i w:val="0"/>
          <w:lang w:val="fr-BE"/>
        </w:rPr>
        <w:t>prenant en compte les enjeux pédagogiques et éducatifs majeurs de l’enseignement secondaire,</w:t>
      </w:r>
    </w:p>
    <w:p>
      <w:pPr>
        <w:pStyle w:val="Listepuces2"/>
        <w:numPr>
          <w:ilvl w:val="0"/>
          <w:numId w:val="39"/>
        </w:numPr>
        <w:rPr>
          <w:i w:val="0"/>
          <w:lang w:val="fr-BE"/>
        </w:rPr>
      </w:pPr>
      <w:r>
        <w:rPr>
          <w:i w:val="0"/>
          <w:lang w:val="fr-BE"/>
        </w:rPr>
        <w:t>s’appuyant sur les orientations pédagogiques contenues dans les bases légales,</w:t>
      </w:r>
    </w:p>
    <w:p>
      <w:pPr>
        <w:pStyle w:val="Listepuces2"/>
        <w:numPr>
          <w:ilvl w:val="0"/>
          <w:numId w:val="39"/>
        </w:numPr>
        <w:rPr>
          <w:i w:val="0"/>
          <w:lang w:val="fr-BE"/>
        </w:rPr>
      </w:pPr>
      <w:r>
        <w:rPr>
          <w:i w:val="0"/>
          <w:lang w:val="fr-BE"/>
        </w:rPr>
        <w:t>intégrant les concepts et connaissances issus des recherches scientifiques sur les objets travaillés en formation.</w:t>
      </w:r>
    </w:p>
    <w:p>
      <w:pPr>
        <w:pStyle w:val="Listepuces2"/>
        <w:rPr>
          <w:lang w:val="fr-BE"/>
        </w:rPr>
      </w:pPr>
    </w:p>
    <w:p>
      <w:pPr>
        <w:pStyle w:val="Listepuces2"/>
      </w:pPr>
      <w:r>
        <w:t>Les modalités d’évaluation seront réalisées conformément aux dispositions définies par la négociation entre les opérateurs de formation et l’Institut de la Formation en cours de Carrière (IFC).</w:t>
      </w:r>
    </w:p>
    <w:p>
      <w:pPr>
        <w:pStyle w:val="Listepuces2"/>
      </w:pPr>
    </w:p>
    <w:p>
      <w:pPr>
        <w:pStyle w:val="Listepuces2"/>
        <w:rPr>
          <w:lang w:val="fr-BE"/>
        </w:rPr>
      </w:pPr>
    </w:p>
    <w:p>
      <w:pPr>
        <w:numPr>
          <w:ilvl w:val="0"/>
          <w:numId w:val="2"/>
        </w:numPr>
        <w:rPr>
          <w:b/>
        </w:rPr>
      </w:pPr>
      <w:r>
        <w:rPr>
          <w:b/>
        </w:rPr>
        <w:t>PROGRAMME</w:t>
      </w:r>
    </w:p>
    <w:p>
      <w:pPr>
        <w:rPr>
          <w:b/>
        </w:rPr>
      </w:pPr>
    </w:p>
    <w:p>
      <w:pPr>
        <w:ind w:left="284"/>
        <w:jc w:val="both"/>
        <w:rPr>
          <w:szCs w:val="22"/>
        </w:rPr>
      </w:pPr>
      <w:r>
        <w:rPr>
          <w:bCs/>
          <w:iCs/>
          <w:szCs w:val="22"/>
        </w:rPr>
        <w:t>L’étudiant sera capable</w:t>
      </w:r>
      <w:r>
        <w:rPr>
          <w:szCs w:val="22"/>
        </w:rPr>
        <w:t>, en lien avec le Pacte pour un Enseignement d’excellence et les objectifs d’amélioration de l’article 67, §3 du décret « Missions » du 24 juillet 1997</w:t>
      </w:r>
      <w:r>
        <w:rPr>
          <w:rStyle w:val="Appelnotedebasdep"/>
          <w:szCs w:val="22"/>
        </w:rPr>
        <w:footnoteReference w:id="1"/>
      </w:r>
      <w:r>
        <w:rPr>
          <w:szCs w:val="22"/>
        </w:rPr>
        <w:t xml:space="preserve"> , afin d’élaborer lune vision de l’action pédagogique de la direction d’une école de l’enseignement secondaire </w:t>
      </w:r>
      <w:r>
        <w:rPr>
          <w:bCs/>
          <w:iCs/>
          <w:szCs w:val="22"/>
        </w:rPr>
        <w:t xml:space="preserve">s’inscrivant dans une perspective systémique : </w:t>
      </w:r>
      <w:r>
        <w:rPr>
          <w:szCs w:val="22"/>
        </w:rPr>
        <w:t xml:space="preserve"> </w:t>
      </w:r>
    </w:p>
    <w:p>
      <w:pPr>
        <w:ind w:left="284"/>
        <w:jc w:val="both"/>
        <w:rPr>
          <w:bCs/>
          <w:iCs/>
          <w:szCs w:val="22"/>
        </w:rPr>
      </w:pPr>
    </w:p>
    <w:p>
      <w:pPr>
        <w:pStyle w:val="Default"/>
        <w:numPr>
          <w:ilvl w:val="0"/>
          <w:numId w:val="35"/>
        </w:numPr>
        <w:spacing w:after="120"/>
        <w:ind w:left="993" w:hanging="357"/>
        <w:jc w:val="both"/>
        <w:rPr>
          <w:rFonts w:ascii="Times New Roman" w:hAnsi="Times New Roman" w:cs="Times New Roman"/>
          <w:sz w:val="22"/>
          <w:szCs w:val="22"/>
        </w:rPr>
      </w:pPr>
      <w:r>
        <w:rPr>
          <w:rFonts w:ascii="Times New Roman" w:hAnsi="Times New Roman" w:cs="Times New Roman"/>
          <w:sz w:val="22"/>
          <w:szCs w:val="22"/>
        </w:rPr>
        <w:t>d’intégrer les concepts d’équité, d’efficacité et d’efficience et d’identifier leurs conditions de mise en œuvre ;</w:t>
      </w:r>
    </w:p>
    <w:p>
      <w:pPr>
        <w:pStyle w:val="Default"/>
        <w:numPr>
          <w:ilvl w:val="0"/>
          <w:numId w:val="35"/>
        </w:numPr>
        <w:spacing w:after="120"/>
        <w:ind w:left="993" w:hanging="357"/>
        <w:jc w:val="both"/>
        <w:rPr>
          <w:rFonts w:ascii="Times New Roman" w:hAnsi="Times New Roman" w:cs="Times New Roman"/>
          <w:sz w:val="22"/>
          <w:szCs w:val="22"/>
        </w:rPr>
      </w:pPr>
      <w:r>
        <w:rPr>
          <w:rFonts w:ascii="Times New Roman" w:hAnsi="Times New Roman" w:cs="Times New Roman"/>
          <w:sz w:val="22"/>
          <w:szCs w:val="22"/>
        </w:rPr>
        <w:t>d’analyser l’action pédagogique menée au sein d’un établissement à l’aune du postulat d’éducabilité de tous (y compris les malentendus scolaires) ;</w:t>
      </w:r>
    </w:p>
    <w:p>
      <w:pPr>
        <w:pStyle w:val="Default"/>
        <w:numPr>
          <w:ilvl w:val="0"/>
          <w:numId w:val="35"/>
        </w:numPr>
        <w:spacing w:after="120"/>
        <w:ind w:left="993" w:hanging="357"/>
        <w:jc w:val="both"/>
        <w:rPr>
          <w:rFonts w:ascii="Times New Roman" w:hAnsi="Times New Roman" w:cs="Times New Roman"/>
          <w:sz w:val="22"/>
          <w:szCs w:val="22"/>
        </w:rPr>
      </w:pPr>
      <w:r>
        <w:rPr>
          <w:rFonts w:ascii="Times New Roman" w:hAnsi="Times New Roman" w:cs="Times New Roman"/>
          <w:sz w:val="22"/>
          <w:szCs w:val="22"/>
        </w:rPr>
        <w:lastRenderedPageBreak/>
        <w:t>d’identifier les différentes dimensions du parcours scolaire des élèves, en particulier le continuum pédagogique et l’approche éducative de l’orientation ;</w:t>
      </w:r>
    </w:p>
    <w:p>
      <w:pPr>
        <w:pStyle w:val="Default"/>
        <w:numPr>
          <w:ilvl w:val="0"/>
          <w:numId w:val="35"/>
        </w:numPr>
        <w:spacing w:after="120"/>
        <w:ind w:left="993" w:hanging="357"/>
        <w:jc w:val="both"/>
        <w:rPr>
          <w:rFonts w:ascii="Times New Roman" w:hAnsi="Times New Roman" w:cs="Times New Roman"/>
          <w:sz w:val="22"/>
          <w:szCs w:val="22"/>
        </w:rPr>
      </w:pPr>
      <w:r>
        <w:rPr>
          <w:rFonts w:ascii="Times New Roman" w:hAnsi="Times New Roman" w:cs="Times New Roman"/>
          <w:sz w:val="22"/>
          <w:szCs w:val="22"/>
        </w:rPr>
        <w:t>de prendre compte les diverses modalités du soutien à la réussite, en particulier à destination des élèves à risques (gestion des hétérogénéités, l’enseignement inclusif, la remédiation et la conception des évaluations au regard des apprentissages), …) ;</w:t>
      </w:r>
    </w:p>
    <w:p>
      <w:pPr>
        <w:pStyle w:val="Default"/>
        <w:numPr>
          <w:ilvl w:val="0"/>
          <w:numId w:val="35"/>
        </w:numPr>
        <w:spacing w:after="120"/>
        <w:ind w:left="993" w:hanging="357"/>
        <w:jc w:val="both"/>
        <w:rPr>
          <w:rFonts w:ascii="Times New Roman" w:hAnsi="Times New Roman" w:cs="Times New Roman"/>
          <w:sz w:val="22"/>
          <w:szCs w:val="22"/>
        </w:rPr>
      </w:pPr>
      <w:r>
        <w:rPr>
          <w:rFonts w:ascii="Times New Roman" w:hAnsi="Times New Roman" w:cs="Times New Roman"/>
          <w:sz w:val="22"/>
          <w:szCs w:val="22"/>
        </w:rPr>
        <w:t>d’intégrer les enjeux et les opportunités de la transition numérique, de l’éducation à la citoyenneté et au vivre ensemble.</w:t>
      </w:r>
    </w:p>
    <w:p>
      <w:pPr>
        <w:suppressAutoHyphens w:val="0"/>
        <w:autoSpaceDE w:val="0"/>
        <w:autoSpaceDN w:val="0"/>
        <w:adjustRightInd w:val="0"/>
        <w:spacing w:before="240" w:after="120" w:line="276" w:lineRule="auto"/>
        <w:jc w:val="both"/>
        <w:rPr>
          <w:rFonts w:eastAsiaTheme="minorHAnsi"/>
          <w:sz w:val="24"/>
          <w:szCs w:val="16"/>
          <w:lang w:eastAsia="fr-BE"/>
        </w:rPr>
      </w:pPr>
      <w:r>
        <w:rPr>
          <w:i/>
          <w:szCs w:val="22"/>
        </w:rPr>
        <w:t xml:space="preserve">Ces capacités seront travaillées au travers des contenus spécifiques déclinés dans le cahier spécial de charges de la formation initiale des directrices et directeurs de l’enseignement défini par l’IFC. </w:t>
      </w:r>
    </w:p>
    <w:p>
      <w:pPr>
        <w:ind w:left="284"/>
        <w:jc w:val="both"/>
        <w:rPr>
          <w:bCs/>
          <w:iCs/>
          <w:szCs w:val="22"/>
        </w:rPr>
      </w:pPr>
    </w:p>
    <w:p>
      <w:pPr>
        <w:ind w:left="284"/>
        <w:jc w:val="both"/>
        <w:rPr>
          <w:bCs/>
          <w:iCs/>
          <w:szCs w:val="22"/>
        </w:rPr>
      </w:pPr>
    </w:p>
    <w:p>
      <w:pPr>
        <w:numPr>
          <w:ilvl w:val="0"/>
          <w:numId w:val="2"/>
        </w:numPr>
        <w:tabs>
          <w:tab w:val="num" w:pos="1134"/>
        </w:tabs>
        <w:jc w:val="both"/>
        <w:rPr>
          <w:b/>
        </w:rPr>
      </w:pPr>
      <w:r>
        <w:rPr>
          <w:b/>
        </w:rPr>
        <w:t>CHARGE(S) DE COURS</w:t>
      </w:r>
    </w:p>
    <w:p>
      <w:pPr>
        <w:ind w:left="567"/>
      </w:pPr>
    </w:p>
    <w:p>
      <w:pPr>
        <w:ind w:left="567"/>
        <w:jc w:val="both"/>
      </w:pPr>
      <w:r>
        <w:t>Le chargé de cours sera un enseignant ou un expert.</w:t>
      </w:r>
    </w:p>
    <w:p>
      <w:pPr>
        <w:ind w:left="567"/>
        <w:jc w:val="both"/>
      </w:pPr>
    </w:p>
    <w:p>
      <w:pPr>
        <w:ind w:left="567"/>
        <w:jc w:val="both"/>
      </w:pPr>
      <w:r>
        <w:t>L’expert devra justifier de compétences particulières issues d’une expérience professionnelle actualisée en relation avec le programme du présent dossier pédagogique.</w:t>
      </w:r>
    </w:p>
    <w:p>
      <w:pPr>
        <w:jc w:val="both"/>
        <w:rPr>
          <w:b/>
          <w:u w:val="single"/>
        </w:rPr>
      </w:pPr>
    </w:p>
    <w:p>
      <w:pPr>
        <w:jc w:val="both"/>
      </w:pPr>
    </w:p>
    <w:p>
      <w:pPr>
        <w:numPr>
          <w:ilvl w:val="0"/>
          <w:numId w:val="2"/>
        </w:numPr>
        <w:jc w:val="both"/>
        <w:rPr>
          <w:b/>
        </w:rPr>
      </w:pPr>
      <w:r>
        <w:rPr>
          <w:b/>
        </w:rPr>
        <w:t>CONSTITUTION DES GROUPES OU REGROUPEMENT</w:t>
      </w:r>
    </w:p>
    <w:p/>
    <w:p>
      <w:pPr>
        <w:ind w:left="567"/>
        <w:jc w:val="both"/>
      </w:pPr>
      <w:r>
        <w:t>Aucune recommandation particulière.</w:t>
      </w:r>
    </w:p>
    <w:p>
      <w:pPr>
        <w:ind w:left="284"/>
        <w:jc w:val="both"/>
      </w:pPr>
    </w:p>
    <w:p>
      <w:pPr>
        <w:ind w:left="284"/>
        <w:jc w:val="both"/>
      </w:pPr>
    </w:p>
    <w:p>
      <w:pPr>
        <w:numPr>
          <w:ilvl w:val="0"/>
          <w:numId w:val="2"/>
        </w:numPr>
        <w:jc w:val="both"/>
        <w:rPr>
          <w:b/>
        </w:rPr>
      </w:pPr>
      <w:r>
        <w:rPr>
          <w:b/>
        </w:rPr>
        <w:t>HORAIRE MINIMUM DE L’UNITE D’ENSEIGNEMENT</w:t>
      </w:r>
    </w:p>
    <w:p>
      <w:pPr>
        <w:ind w:left="283" w:hanging="283"/>
        <w:jc w:val="both"/>
      </w:pPr>
    </w:p>
    <w:p>
      <w:pPr>
        <w:ind w:left="708" w:hanging="708"/>
      </w:pPr>
      <w:bookmarkStart w:id="5" w:name="CAT"/>
      <w:bookmarkEnd w:id="5"/>
    </w:p>
    <w:tbl>
      <w:tblPr>
        <w:tblW w:w="8965" w:type="dxa"/>
        <w:tblInd w:w="-69" w:type="dxa"/>
        <w:tblLayout w:type="fixed"/>
        <w:tblCellMar>
          <w:left w:w="71" w:type="dxa"/>
          <w:right w:w="71" w:type="dxa"/>
        </w:tblCellMar>
        <w:tblLook w:val="0000" w:firstRow="0" w:lastRow="0" w:firstColumn="0" w:lastColumn="0" w:noHBand="0" w:noVBand="0"/>
      </w:tblPr>
      <w:tblGrid>
        <w:gridCol w:w="3437"/>
        <w:gridCol w:w="1417"/>
        <w:gridCol w:w="1856"/>
        <w:gridCol w:w="2255"/>
      </w:tblGrid>
      <w:tr>
        <w:tc>
          <w:tcPr>
            <w:tcW w:w="3437" w:type="dxa"/>
            <w:tcBorders>
              <w:top w:val="single" w:sz="8" w:space="0" w:color="000000"/>
              <w:left w:val="single" w:sz="8" w:space="0" w:color="000000"/>
              <w:bottom w:val="single" w:sz="8" w:space="0" w:color="000000"/>
            </w:tcBorders>
          </w:tcPr>
          <w:p>
            <w:pPr>
              <w:snapToGrid w:val="0"/>
              <w:ind w:left="426"/>
              <w:rPr>
                <w:b/>
                <w:szCs w:val="22"/>
              </w:rPr>
            </w:pPr>
            <w:r>
              <w:rPr>
                <w:b/>
                <w:szCs w:val="22"/>
              </w:rPr>
              <w:t>7.1. Dénomination des cours</w:t>
            </w:r>
          </w:p>
        </w:tc>
        <w:tc>
          <w:tcPr>
            <w:tcW w:w="1417" w:type="dxa"/>
            <w:tcBorders>
              <w:top w:val="single" w:sz="8" w:space="0" w:color="000000"/>
              <w:left w:val="single" w:sz="4" w:space="0" w:color="000000"/>
              <w:bottom w:val="single" w:sz="8" w:space="0" w:color="000000"/>
            </w:tcBorders>
          </w:tcPr>
          <w:p>
            <w:pPr>
              <w:snapToGrid w:val="0"/>
              <w:jc w:val="center"/>
              <w:rPr>
                <w:b/>
                <w:szCs w:val="22"/>
                <w:u w:val="single"/>
              </w:rPr>
            </w:pPr>
            <w:r>
              <w:rPr>
                <w:b/>
                <w:szCs w:val="22"/>
                <w:u w:val="single"/>
              </w:rPr>
              <w:t>Classement des cours</w:t>
            </w:r>
          </w:p>
        </w:tc>
        <w:tc>
          <w:tcPr>
            <w:tcW w:w="1856" w:type="dxa"/>
            <w:tcBorders>
              <w:top w:val="single" w:sz="8" w:space="0" w:color="000000"/>
              <w:left w:val="single" w:sz="4" w:space="0" w:color="000000"/>
              <w:bottom w:val="single" w:sz="8" w:space="0" w:color="000000"/>
            </w:tcBorders>
          </w:tcPr>
          <w:p>
            <w:pPr>
              <w:pStyle w:val="Titre3"/>
              <w:jc w:val="center"/>
              <w:rPr>
                <w:rFonts w:ascii="Times New Roman" w:hAnsi="Times New Roman" w:cs="Times New Roman"/>
                <w:bCs w:val="0"/>
                <w:sz w:val="22"/>
                <w:szCs w:val="22"/>
                <w:u w:val="single"/>
              </w:rPr>
            </w:pPr>
            <w:r>
              <w:rPr>
                <w:rFonts w:ascii="Times New Roman" w:hAnsi="Times New Roman" w:cs="Times New Roman"/>
                <w:bCs w:val="0"/>
                <w:sz w:val="22"/>
                <w:szCs w:val="22"/>
                <w:u w:val="single"/>
              </w:rPr>
              <w:t>Code U</w:t>
            </w:r>
          </w:p>
        </w:tc>
        <w:tc>
          <w:tcPr>
            <w:tcW w:w="2255" w:type="dxa"/>
            <w:tcBorders>
              <w:top w:val="single" w:sz="8" w:space="0" w:color="000000"/>
              <w:left w:val="single" w:sz="4" w:space="0" w:color="000000"/>
              <w:bottom w:val="single" w:sz="8" w:space="0" w:color="000000"/>
              <w:right w:val="single" w:sz="8" w:space="0" w:color="000000"/>
            </w:tcBorders>
          </w:tcPr>
          <w:p>
            <w:pPr>
              <w:snapToGrid w:val="0"/>
              <w:jc w:val="center"/>
              <w:rPr>
                <w:b/>
                <w:szCs w:val="22"/>
                <w:u w:val="single"/>
              </w:rPr>
            </w:pPr>
            <w:r>
              <w:rPr>
                <w:b/>
                <w:szCs w:val="22"/>
                <w:u w:val="single"/>
              </w:rPr>
              <w:t>Nombre de périodes</w:t>
            </w:r>
          </w:p>
        </w:tc>
      </w:tr>
      <w:tr>
        <w:tc>
          <w:tcPr>
            <w:tcW w:w="3437" w:type="dxa"/>
            <w:tcBorders>
              <w:top w:val="single" w:sz="8" w:space="0" w:color="000000"/>
              <w:left w:val="single" w:sz="8" w:space="0" w:color="000000"/>
              <w:bottom w:val="single" w:sz="12" w:space="0" w:color="000000"/>
            </w:tcBorders>
          </w:tcPr>
          <w:p>
            <w:pPr>
              <w:snapToGrid w:val="0"/>
              <w:spacing w:before="120" w:after="120"/>
              <w:ind w:left="426"/>
              <w:rPr>
                <w:szCs w:val="22"/>
              </w:rPr>
            </w:pPr>
            <w:bookmarkStart w:id="6" w:name="VOL"/>
            <w:bookmarkEnd w:id="6"/>
            <w:r>
              <w:rPr>
                <w:szCs w:val="22"/>
              </w:rPr>
              <w:t>Vision pédagogique</w:t>
            </w:r>
          </w:p>
        </w:tc>
        <w:tc>
          <w:tcPr>
            <w:tcW w:w="1417" w:type="dxa"/>
            <w:tcBorders>
              <w:top w:val="single" w:sz="8" w:space="0" w:color="000000"/>
              <w:left w:val="single" w:sz="4" w:space="0" w:color="000000"/>
              <w:bottom w:val="single" w:sz="12" w:space="0" w:color="000000"/>
            </w:tcBorders>
          </w:tcPr>
          <w:p>
            <w:pPr>
              <w:snapToGrid w:val="0"/>
              <w:spacing w:before="120" w:after="120"/>
              <w:jc w:val="center"/>
              <w:rPr>
                <w:szCs w:val="22"/>
              </w:rPr>
            </w:pPr>
            <w:r>
              <w:rPr>
                <w:szCs w:val="22"/>
              </w:rPr>
              <w:t>CT</w:t>
            </w:r>
          </w:p>
        </w:tc>
        <w:tc>
          <w:tcPr>
            <w:tcW w:w="1856" w:type="dxa"/>
            <w:tcBorders>
              <w:top w:val="single" w:sz="8" w:space="0" w:color="000000"/>
              <w:left w:val="single" w:sz="4" w:space="0" w:color="000000"/>
              <w:bottom w:val="single" w:sz="12" w:space="0" w:color="000000"/>
            </w:tcBorders>
          </w:tcPr>
          <w:p>
            <w:pPr>
              <w:snapToGrid w:val="0"/>
              <w:spacing w:before="120" w:after="120"/>
              <w:jc w:val="center"/>
              <w:rPr>
                <w:szCs w:val="22"/>
              </w:rPr>
            </w:pPr>
            <w:r>
              <w:rPr>
                <w:szCs w:val="22"/>
              </w:rPr>
              <w:t>B</w:t>
            </w:r>
          </w:p>
        </w:tc>
        <w:tc>
          <w:tcPr>
            <w:tcW w:w="2255" w:type="dxa"/>
            <w:tcBorders>
              <w:top w:val="single" w:sz="8" w:space="0" w:color="000000"/>
              <w:left w:val="single" w:sz="4" w:space="0" w:color="000000"/>
              <w:bottom w:val="single" w:sz="12" w:space="0" w:color="000000"/>
              <w:right w:val="single" w:sz="8" w:space="0" w:color="000000"/>
            </w:tcBorders>
          </w:tcPr>
          <w:p>
            <w:pPr>
              <w:tabs>
                <w:tab w:val="left" w:pos="1297"/>
              </w:tabs>
              <w:snapToGrid w:val="0"/>
              <w:spacing w:before="120" w:after="120"/>
              <w:ind w:right="674"/>
              <w:jc w:val="right"/>
              <w:rPr>
                <w:szCs w:val="22"/>
              </w:rPr>
            </w:pPr>
            <w:r>
              <w:rPr>
                <w:szCs w:val="22"/>
              </w:rPr>
              <w:t>18</w:t>
            </w:r>
          </w:p>
        </w:tc>
      </w:tr>
      <w:tr>
        <w:tc>
          <w:tcPr>
            <w:tcW w:w="3437" w:type="dxa"/>
            <w:tcBorders>
              <w:top w:val="single" w:sz="8" w:space="0" w:color="000000"/>
              <w:left w:val="single" w:sz="8" w:space="0" w:color="000000"/>
              <w:bottom w:val="single" w:sz="12" w:space="0" w:color="000000"/>
            </w:tcBorders>
          </w:tcPr>
          <w:p>
            <w:pPr>
              <w:snapToGrid w:val="0"/>
              <w:spacing w:before="120" w:after="120"/>
              <w:ind w:left="426"/>
              <w:rPr>
                <w:b/>
                <w:szCs w:val="22"/>
              </w:rPr>
            </w:pPr>
            <w:r>
              <w:rPr>
                <w:b/>
                <w:szCs w:val="22"/>
              </w:rPr>
              <w:t>7.2. Part d’autonomie</w:t>
            </w:r>
          </w:p>
        </w:tc>
        <w:tc>
          <w:tcPr>
            <w:tcW w:w="1417" w:type="dxa"/>
            <w:tcBorders>
              <w:top w:val="single" w:sz="8" w:space="0" w:color="000000"/>
              <w:left w:val="single" w:sz="4" w:space="0" w:color="000000"/>
              <w:bottom w:val="single" w:sz="12" w:space="0" w:color="000000"/>
            </w:tcBorders>
          </w:tcPr>
          <w:p>
            <w:pPr>
              <w:snapToGrid w:val="0"/>
              <w:spacing w:before="120" w:after="120"/>
              <w:jc w:val="center"/>
              <w:rPr>
                <w:b/>
                <w:szCs w:val="22"/>
              </w:rPr>
            </w:pPr>
          </w:p>
        </w:tc>
        <w:tc>
          <w:tcPr>
            <w:tcW w:w="1856" w:type="dxa"/>
            <w:tcBorders>
              <w:top w:val="single" w:sz="8" w:space="0" w:color="000000"/>
              <w:left w:val="single" w:sz="4" w:space="0" w:color="000000"/>
              <w:bottom w:val="single" w:sz="12" w:space="0" w:color="000000"/>
            </w:tcBorders>
          </w:tcPr>
          <w:p>
            <w:pPr>
              <w:snapToGrid w:val="0"/>
              <w:spacing w:before="120" w:after="120"/>
              <w:jc w:val="center"/>
              <w:rPr>
                <w:szCs w:val="22"/>
              </w:rPr>
            </w:pPr>
            <w:r>
              <w:rPr>
                <w:szCs w:val="22"/>
              </w:rPr>
              <w:t>P</w:t>
            </w:r>
          </w:p>
        </w:tc>
        <w:tc>
          <w:tcPr>
            <w:tcW w:w="2255" w:type="dxa"/>
            <w:tcBorders>
              <w:top w:val="single" w:sz="8" w:space="0" w:color="000000"/>
              <w:left w:val="single" w:sz="4" w:space="0" w:color="000000"/>
              <w:bottom w:val="single" w:sz="12" w:space="0" w:color="000000"/>
              <w:right w:val="single" w:sz="8" w:space="0" w:color="000000"/>
            </w:tcBorders>
          </w:tcPr>
          <w:p>
            <w:pPr>
              <w:tabs>
                <w:tab w:val="left" w:pos="1297"/>
              </w:tabs>
              <w:snapToGrid w:val="0"/>
              <w:spacing w:before="120" w:after="120"/>
              <w:ind w:right="674"/>
              <w:jc w:val="right"/>
              <w:rPr>
                <w:szCs w:val="22"/>
              </w:rPr>
            </w:pPr>
            <w:r>
              <w:rPr>
                <w:szCs w:val="22"/>
              </w:rPr>
              <w:t>4</w:t>
            </w:r>
          </w:p>
        </w:tc>
      </w:tr>
      <w:tr>
        <w:tc>
          <w:tcPr>
            <w:tcW w:w="3437" w:type="dxa"/>
            <w:tcBorders>
              <w:top w:val="single" w:sz="12" w:space="0" w:color="000000"/>
              <w:left w:val="single" w:sz="12" w:space="0" w:color="000000"/>
              <w:bottom w:val="single" w:sz="12" w:space="0" w:color="000000"/>
            </w:tcBorders>
          </w:tcPr>
          <w:p>
            <w:pPr>
              <w:snapToGrid w:val="0"/>
              <w:spacing w:before="120" w:after="120"/>
              <w:ind w:left="426"/>
              <w:rPr>
                <w:b/>
                <w:szCs w:val="22"/>
              </w:rPr>
            </w:pPr>
            <w:r>
              <w:rPr>
                <w:b/>
                <w:szCs w:val="22"/>
              </w:rPr>
              <w:t>Total des périodes</w:t>
            </w:r>
          </w:p>
        </w:tc>
        <w:tc>
          <w:tcPr>
            <w:tcW w:w="1417" w:type="dxa"/>
            <w:tcBorders>
              <w:top w:val="single" w:sz="12" w:space="0" w:color="000000"/>
              <w:bottom w:val="single" w:sz="12" w:space="0" w:color="000000"/>
            </w:tcBorders>
          </w:tcPr>
          <w:p>
            <w:pPr>
              <w:snapToGrid w:val="0"/>
              <w:spacing w:before="120" w:after="120"/>
              <w:jc w:val="center"/>
              <w:rPr>
                <w:szCs w:val="22"/>
              </w:rPr>
            </w:pPr>
          </w:p>
        </w:tc>
        <w:tc>
          <w:tcPr>
            <w:tcW w:w="1856" w:type="dxa"/>
            <w:tcBorders>
              <w:top w:val="single" w:sz="12" w:space="0" w:color="000000"/>
              <w:bottom w:val="single" w:sz="12" w:space="0" w:color="000000"/>
              <w:right w:val="single" w:sz="12" w:space="0" w:color="000000"/>
            </w:tcBorders>
          </w:tcPr>
          <w:p>
            <w:pPr>
              <w:snapToGrid w:val="0"/>
              <w:spacing w:before="120" w:after="120"/>
              <w:jc w:val="center"/>
              <w:rPr>
                <w:szCs w:val="22"/>
              </w:rPr>
            </w:pPr>
          </w:p>
        </w:tc>
        <w:tc>
          <w:tcPr>
            <w:tcW w:w="2255" w:type="dxa"/>
            <w:tcBorders>
              <w:top w:val="single" w:sz="12" w:space="0" w:color="000000"/>
              <w:left w:val="single" w:sz="12" w:space="0" w:color="000000"/>
              <w:bottom w:val="single" w:sz="12" w:space="0" w:color="000000"/>
              <w:right w:val="single" w:sz="12" w:space="0" w:color="000000"/>
            </w:tcBorders>
          </w:tcPr>
          <w:p>
            <w:pPr>
              <w:tabs>
                <w:tab w:val="left" w:pos="1297"/>
              </w:tabs>
              <w:snapToGrid w:val="0"/>
              <w:spacing w:before="120" w:after="120"/>
              <w:ind w:right="674"/>
              <w:jc w:val="right"/>
              <w:rPr>
                <w:b/>
                <w:szCs w:val="22"/>
              </w:rPr>
            </w:pPr>
            <w:r>
              <w:rPr>
                <w:b/>
                <w:szCs w:val="22"/>
              </w:rPr>
              <w:t>22</w:t>
            </w:r>
          </w:p>
        </w:tc>
      </w:tr>
    </w:tbl>
    <w:p/>
    <w:sectPr>
      <w:footerReference w:type="default" r:id="rId10"/>
      <w:footnotePr>
        <w:pos w:val="beneathText"/>
      </w:footnotePr>
      <w:type w:val="continuous"/>
      <w:pgSz w:w="11905" w:h="16837"/>
      <w:pgMar w:top="1417" w:right="1417" w:bottom="1291" w:left="1417" w:header="141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Serif">
    <w:altName w:val="Cambria"/>
    <w:panose1 w:val="04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Gra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Pr>
        <w:szCs w:val="22"/>
      </w:rPr>
    </w:pPr>
    <w:r>
      <w:rPr>
        <w:bCs/>
        <w:szCs w:val="22"/>
      </w:rPr>
      <w:t>Formation initiale obligatoire des directeurs – Axe pilotage - partie pédagogique –</w:t>
    </w:r>
    <w:r>
      <w:rPr>
        <w:bCs/>
        <w:szCs w:val="22"/>
      </w:rPr>
      <w:tab/>
      <w:t xml:space="preserve">         </w:t>
    </w:r>
    <w:r>
      <w:rPr>
        <w:szCs w:val="22"/>
      </w:rPr>
      <w:t xml:space="preserve">page </w:t>
    </w:r>
    <w:r>
      <w:rPr>
        <w:rStyle w:val="Numrodepage"/>
        <w:szCs w:val="22"/>
      </w:rPr>
      <w:fldChar w:fldCharType="begin"/>
    </w:r>
    <w:r>
      <w:rPr>
        <w:rStyle w:val="Numrodepage"/>
        <w:szCs w:val="22"/>
      </w:rPr>
      <w:instrText xml:space="preserve"> PAGE </w:instrText>
    </w:r>
    <w:r>
      <w:rPr>
        <w:rStyle w:val="Numrodepage"/>
        <w:szCs w:val="22"/>
      </w:rPr>
      <w:fldChar w:fldCharType="separate"/>
    </w:r>
    <w:r>
      <w:rPr>
        <w:rStyle w:val="Numrodepage"/>
        <w:noProof/>
        <w:szCs w:val="22"/>
      </w:rPr>
      <w:t>4</w:t>
    </w:r>
    <w:r>
      <w:rPr>
        <w:rStyle w:val="Numrodepage"/>
        <w:szCs w:val="22"/>
      </w:rPr>
      <w:fldChar w:fldCharType="end"/>
    </w:r>
    <w:r>
      <w:rPr>
        <w:rStyle w:val="Numrodepage"/>
        <w:szCs w:val="22"/>
      </w:rPr>
      <w:t>/</w:t>
    </w:r>
    <w:r>
      <w:rPr>
        <w:rStyle w:val="Numrodepage"/>
        <w:szCs w:val="22"/>
      </w:rPr>
      <w:fldChar w:fldCharType="begin"/>
    </w:r>
    <w:r>
      <w:rPr>
        <w:rStyle w:val="Numrodepage"/>
        <w:szCs w:val="22"/>
      </w:rPr>
      <w:instrText xml:space="preserve"> NUMPAGES </w:instrText>
    </w:r>
    <w:r>
      <w:rPr>
        <w:rStyle w:val="Numrodepage"/>
        <w:szCs w:val="22"/>
      </w:rPr>
      <w:fldChar w:fldCharType="separate"/>
    </w:r>
    <w:r>
      <w:rPr>
        <w:rStyle w:val="Numrodepage"/>
        <w:noProof/>
        <w:szCs w:val="22"/>
      </w:rPr>
      <w:t>4</w:t>
    </w:r>
    <w:r>
      <w:rPr>
        <w:rStyle w:val="Numrodepage"/>
        <w:szCs w:val="22"/>
      </w:rPr>
      <w:fldChar w:fldCharType="end"/>
    </w:r>
  </w:p>
  <w:p>
    <w:pPr>
      <w:pStyle w:val="Pieddepage"/>
      <w:rPr>
        <w:sz w:val="16"/>
        <w:szCs w:val="16"/>
      </w:rPr>
    </w:pPr>
    <w:r>
      <w:rPr>
        <w:bCs/>
        <w:szCs w:val="22"/>
      </w:rPr>
      <w:t>Volet inter-réseaux – Enseignement Secondaire</w:t>
    </w:r>
  </w:p>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Notedebasdepage"/>
        <w:jc w:val="both"/>
        <w:rPr>
          <w:sz w:val="16"/>
          <w:szCs w:val="16"/>
        </w:rPr>
      </w:pPr>
      <w:r>
        <w:rPr>
          <w:rStyle w:val="Appelnotedebasdep"/>
          <w:szCs w:val="16"/>
        </w:rPr>
        <w:footnoteRef/>
      </w:r>
      <w:r>
        <w:rPr>
          <w:sz w:val="16"/>
          <w:szCs w:val="16"/>
        </w:rPr>
        <w:t xml:space="preserve"> Modifié par l’article 15 du décret du 13 septembre 2018 modifiant le décret du 24 juillet 1997 définissant les missions prioritaires de l’enseignement fondamental et de l’enseignement secondaire et organisant les structures propres à les atteindre afin de déployer un nouveau cadre de pilotage, contractualisant les relations entre la Communauté française et les établissements scolaires.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3CAE568E"/>
    <w:lvl w:ilvl="0">
      <w:start w:val="1"/>
      <w:numFmt w:val="bullet"/>
      <w:pStyle w:val="Listepuc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B2C95A0"/>
    <w:lvl w:ilvl="0">
      <w:start w:val="1"/>
      <w:numFmt w:val="bullet"/>
      <w:lvlText w:val=""/>
      <w:lvlJc w:val="left"/>
      <w:pPr>
        <w:ind w:left="643" w:hanging="360"/>
      </w:pPr>
      <w:rPr>
        <w:rFonts w:ascii="Symbol" w:hAnsi="Symbol" w:hint="default"/>
      </w:rPr>
    </w:lvl>
  </w:abstractNum>
  <w:abstractNum w:abstractNumId="2" w15:restartNumberingAfterBreak="0">
    <w:nsid w:val="00000001"/>
    <w:multiLevelType w:val="multilevel"/>
    <w:tmpl w:val="00000001"/>
    <w:name w:val="Outline"/>
    <w:lvl w:ilvl="0">
      <w:start w:val="1"/>
      <w:numFmt w:val="none"/>
      <w:pStyle w:val="Titre1"/>
      <w:suff w:val="nothing"/>
      <w:lvlText w:val=""/>
      <w:lvlJc w:val="left"/>
      <w:pPr>
        <w:tabs>
          <w:tab w:val="num" w:pos="0"/>
        </w:tabs>
      </w:pPr>
      <w:rPr>
        <w:rFonts w:cs="Times New Roman"/>
      </w:rPr>
    </w:lvl>
    <w:lvl w:ilvl="1">
      <w:start w:val="1"/>
      <w:numFmt w:val="none"/>
      <w:pStyle w:val="Titre2"/>
      <w:suff w:val="nothing"/>
      <w:lvlText w:val=""/>
      <w:lvlJc w:val="left"/>
      <w:pPr>
        <w:tabs>
          <w:tab w:val="num" w:pos="0"/>
        </w:tabs>
      </w:pPr>
      <w:rPr>
        <w:rFonts w:cs="Times New Roman"/>
      </w:rPr>
    </w:lvl>
    <w:lvl w:ilvl="2">
      <w:start w:val="1"/>
      <w:numFmt w:val="none"/>
      <w:pStyle w:val="Titre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15:restartNumberingAfterBreak="0">
    <w:nsid w:val="00000002"/>
    <w:multiLevelType w:val="singleLevel"/>
    <w:tmpl w:val="00000002"/>
    <w:name w:val="WW8Num2"/>
    <w:lvl w:ilvl="0">
      <w:start w:val="1"/>
      <w:numFmt w:val="bullet"/>
      <w:lvlText w:val=""/>
      <w:lvlJc w:val="left"/>
      <w:pPr>
        <w:tabs>
          <w:tab w:val="num" w:pos="0"/>
        </w:tabs>
      </w:pPr>
      <w:rPr>
        <w:rFonts w:ascii="Symbol" w:hAnsi="Symbol"/>
      </w:rPr>
    </w:lvl>
  </w:abstractNum>
  <w:abstractNum w:abstractNumId="4" w15:restartNumberingAfterBreak="0">
    <w:nsid w:val="00000003"/>
    <w:multiLevelType w:val="singleLevel"/>
    <w:tmpl w:val="00000003"/>
    <w:name w:val="WW8Num3"/>
    <w:lvl w:ilvl="0">
      <w:start w:val="1"/>
      <w:numFmt w:val="bullet"/>
      <w:pStyle w:val="normal01"/>
      <w:lvlText w:val=""/>
      <w:lvlJc w:val="left"/>
      <w:pPr>
        <w:tabs>
          <w:tab w:val="num" w:pos="0"/>
        </w:tabs>
      </w:pPr>
      <w:rPr>
        <w:rFonts w:ascii="Symbol" w:hAnsi="Symbol"/>
        <w:sz w:val="14"/>
      </w:rPr>
    </w:lvl>
  </w:abstractNum>
  <w:abstractNum w:abstractNumId="5" w15:restartNumberingAfterBreak="0">
    <w:nsid w:val="00000005"/>
    <w:multiLevelType w:val="singleLevel"/>
    <w:tmpl w:val="00000005"/>
    <w:name w:val="WW8Num5"/>
    <w:lvl w:ilvl="0">
      <w:start w:val="1"/>
      <w:numFmt w:val="bullet"/>
      <w:lvlText w:val=""/>
      <w:lvlJc w:val="left"/>
      <w:pPr>
        <w:tabs>
          <w:tab w:val="num" w:pos="1107"/>
        </w:tabs>
        <w:ind w:left="1107" w:hanging="397"/>
      </w:pPr>
      <w:rPr>
        <w:rFonts w:ascii="Symbol" w:hAnsi="Symbol"/>
        <w:sz w:val="22"/>
      </w:rPr>
    </w:lvl>
  </w:abstractNum>
  <w:abstractNum w:abstractNumId="6" w15:restartNumberingAfterBreak="0">
    <w:nsid w:val="01ED7D59"/>
    <w:multiLevelType w:val="hybridMultilevel"/>
    <w:tmpl w:val="D92CE870"/>
    <w:lvl w:ilvl="0" w:tplc="D02250A2">
      <w:start w:val="1"/>
      <w:numFmt w:val="bullet"/>
      <w:lvlText w:val=""/>
      <w:lvlJc w:val="left"/>
      <w:pPr>
        <w:ind w:left="786" w:hanging="360"/>
      </w:pPr>
      <w:rPr>
        <w:rFonts w:ascii="Symbol" w:hAnsi="Symbol" w:hint="default"/>
        <w:lang w:val="fr-FR"/>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7" w15:restartNumberingAfterBreak="0">
    <w:nsid w:val="01F07A29"/>
    <w:multiLevelType w:val="multilevel"/>
    <w:tmpl w:val="A7AE7224"/>
    <w:lvl w:ilvl="0">
      <w:start w:val="4"/>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8" w15:restartNumberingAfterBreak="0">
    <w:nsid w:val="029C4631"/>
    <w:multiLevelType w:val="hybridMultilevel"/>
    <w:tmpl w:val="064609B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584C55"/>
    <w:multiLevelType w:val="hybridMultilevel"/>
    <w:tmpl w:val="E842B96C"/>
    <w:lvl w:ilvl="0" w:tplc="080C0001">
      <w:start w:val="1"/>
      <w:numFmt w:val="bullet"/>
      <w:lvlText w:val=""/>
      <w:lvlJc w:val="left"/>
      <w:pPr>
        <w:ind w:left="1364" w:hanging="360"/>
      </w:pPr>
      <w:rPr>
        <w:rFonts w:ascii="Symbol" w:hAnsi="Symbol" w:hint="default"/>
      </w:rPr>
    </w:lvl>
    <w:lvl w:ilvl="1" w:tplc="080C0003" w:tentative="1">
      <w:start w:val="1"/>
      <w:numFmt w:val="bullet"/>
      <w:lvlText w:val="o"/>
      <w:lvlJc w:val="left"/>
      <w:pPr>
        <w:ind w:left="2084" w:hanging="360"/>
      </w:pPr>
      <w:rPr>
        <w:rFonts w:ascii="Courier New" w:hAnsi="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10" w15:restartNumberingAfterBreak="0">
    <w:nsid w:val="0AA74A2A"/>
    <w:multiLevelType w:val="hybridMultilevel"/>
    <w:tmpl w:val="670C8F70"/>
    <w:lvl w:ilvl="0" w:tplc="080C0001">
      <w:start w:val="1"/>
      <w:numFmt w:val="bullet"/>
      <w:lvlText w:val=""/>
      <w:lvlJc w:val="left"/>
      <w:pPr>
        <w:ind w:left="1428" w:hanging="360"/>
      </w:pPr>
      <w:rPr>
        <w:rFonts w:ascii="Symbol" w:hAnsi="Symbol" w:hint="default"/>
      </w:rPr>
    </w:lvl>
    <w:lvl w:ilvl="1" w:tplc="080C0003">
      <w:start w:val="1"/>
      <w:numFmt w:val="bullet"/>
      <w:lvlText w:val="o"/>
      <w:lvlJc w:val="left"/>
      <w:pPr>
        <w:ind w:left="2148" w:hanging="360"/>
      </w:pPr>
      <w:rPr>
        <w:rFonts w:ascii="Courier New" w:hAnsi="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1" w15:restartNumberingAfterBreak="0">
    <w:nsid w:val="0BE7508A"/>
    <w:multiLevelType w:val="multilevel"/>
    <w:tmpl w:val="B12A05C0"/>
    <w:lvl w:ilvl="0">
      <w:start w:val="1"/>
      <w:numFmt w:val="bullet"/>
      <w:lvlText w:val=""/>
      <w:lvlJc w:val="left"/>
      <w:pPr>
        <w:tabs>
          <w:tab w:val="num" w:pos="2880"/>
        </w:tabs>
        <w:ind w:left="288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F65612"/>
    <w:multiLevelType w:val="multilevel"/>
    <w:tmpl w:val="E3F6E156"/>
    <w:lvl w:ilvl="0">
      <w:numFmt w:val="bullet"/>
      <w:lvlText w:val=""/>
      <w:lvlJc w:val="left"/>
      <w:pPr>
        <w:tabs>
          <w:tab w:val="num" w:pos="2974"/>
        </w:tabs>
        <w:ind w:left="2974" w:hanging="454"/>
      </w:pPr>
      <w:rPr>
        <w:rFonts w:ascii="Symbol" w:hAnsi="Symbol" w:hint="default"/>
        <w:b/>
        <w:i w:val="0"/>
        <w:color w:val="auto"/>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7D0855"/>
    <w:multiLevelType w:val="multilevel"/>
    <w:tmpl w:val="A96C267E"/>
    <w:lvl w:ilvl="0">
      <w:start w:val="4"/>
      <w:numFmt w:val="decimal"/>
      <w:lvlText w:val="%1"/>
      <w:lvlJc w:val="left"/>
      <w:pPr>
        <w:ind w:left="360" w:hanging="360"/>
      </w:pPr>
      <w:rPr>
        <w:rFonts w:hint="default"/>
      </w:rPr>
    </w:lvl>
    <w:lvl w:ilvl="1">
      <w:start w:val="4"/>
      <w:numFmt w:val="decimal"/>
      <w:lvlText w:val="%1.%2"/>
      <w:lvlJc w:val="left"/>
      <w:pPr>
        <w:ind w:left="1185" w:hanging="36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205" w:hanging="108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215" w:hanging="1440"/>
      </w:pPr>
      <w:rPr>
        <w:rFonts w:hint="default"/>
      </w:rPr>
    </w:lvl>
    <w:lvl w:ilvl="8">
      <w:start w:val="1"/>
      <w:numFmt w:val="decimal"/>
      <w:lvlText w:val="%1.%2.%3.%4.%5.%6.%7.%8.%9"/>
      <w:lvlJc w:val="left"/>
      <w:pPr>
        <w:ind w:left="8040" w:hanging="1440"/>
      </w:pPr>
      <w:rPr>
        <w:rFonts w:hint="default"/>
      </w:rPr>
    </w:lvl>
  </w:abstractNum>
  <w:abstractNum w:abstractNumId="14" w15:restartNumberingAfterBreak="0">
    <w:nsid w:val="1D5325FF"/>
    <w:multiLevelType w:val="hybridMultilevel"/>
    <w:tmpl w:val="E398EDE2"/>
    <w:lvl w:ilvl="0" w:tplc="E4261BF0">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5" w15:restartNumberingAfterBreak="0">
    <w:nsid w:val="23EC3D39"/>
    <w:multiLevelType w:val="multilevel"/>
    <w:tmpl w:val="040C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6" w15:restartNumberingAfterBreak="0">
    <w:nsid w:val="27715C86"/>
    <w:multiLevelType w:val="hybridMultilevel"/>
    <w:tmpl w:val="B70E038E"/>
    <w:lvl w:ilvl="0" w:tplc="080C0003">
      <w:start w:val="1"/>
      <w:numFmt w:val="bullet"/>
      <w:lvlText w:val="o"/>
      <w:lvlJc w:val="left"/>
      <w:pPr>
        <w:ind w:left="2064" w:hanging="360"/>
      </w:pPr>
      <w:rPr>
        <w:rFonts w:ascii="Courier New" w:hAnsi="Courier New" w:cs="Courier New" w:hint="default"/>
      </w:rPr>
    </w:lvl>
    <w:lvl w:ilvl="1" w:tplc="080C0003" w:tentative="1">
      <w:start w:val="1"/>
      <w:numFmt w:val="bullet"/>
      <w:lvlText w:val="o"/>
      <w:lvlJc w:val="left"/>
      <w:pPr>
        <w:ind w:left="2784" w:hanging="360"/>
      </w:pPr>
      <w:rPr>
        <w:rFonts w:ascii="Courier New" w:hAnsi="Courier New" w:cs="Courier New" w:hint="default"/>
      </w:rPr>
    </w:lvl>
    <w:lvl w:ilvl="2" w:tplc="080C0005" w:tentative="1">
      <w:start w:val="1"/>
      <w:numFmt w:val="bullet"/>
      <w:lvlText w:val=""/>
      <w:lvlJc w:val="left"/>
      <w:pPr>
        <w:ind w:left="3504" w:hanging="360"/>
      </w:pPr>
      <w:rPr>
        <w:rFonts w:ascii="Wingdings" w:hAnsi="Wingdings" w:hint="default"/>
      </w:rPr>
    </w:lvl>
    <w:lvl w:ilvl="3" w:tplc="080C0001" w:tentative="1">
      <w:start w:val="1"/>
      <w:numFmt w:val="bullet"/>
      <w:lvlText w:val=""/>
      <w:lvlJc w:val="left"/>
      <w:pPr>
        <w:ind w:left="4224" w:hanging="360"/>
      </w:pPr>
      <w:rPr>
        <w:rFonts w:ascii="Symbol" w:hAnsi="Symbol" w:hint="default"/>
      </w:rPr>
    </w:lvl>
    <w:lvl w:ilvl="4" w:tplc="080C0003" w:tentative="1">
      <w:start w:val="1"/>
      <w:numFmt w:val="bullet"/>
      <w:lvlText w:val="o"/>
      <w:lvlJc w:val="left"/>
      <w:pPr>
        <w:ind w:left="4944" w:hanging="360"/>
      </w:pPr>
      <w:rPr>
        <w:rFonts w:ascii="Courier New" w:hAnsi="Courier New" w:cs="Courier New" w:hint="default"/>
      </w:rPr>
    </w:lvl>
    <w:lvl w:ilvl="5" w:tplc="080C0005" w:tentative="1">
      <w:start w:val="1"/>
      <w:numFmt w:val="bullet"/>
      <w:lvlText w:val=""/>
      <w:lvlJc w:val="left"/>
      <w:pPr>
        <w:ind w:left="5664" w:hanging="360"/>
      </w:pPr>
      <w:rPr>
        <w:rFonts w:ascii="Wingdings" w:hAnsi="Wingdings" w:hint="default"/>
      </w:rPr>
    </w:lvl>
    <w:lvl w:ilvl="6" w:tplc="080C0001" w:tentative="1">
      <w:start w:val="1"/>
      <w:numFmt w:val="bullet"/>
      <w:lvlText w:val=""/>
      <w:lvlJc w:val="left"/>
      <w:pPr>
        <w:ind w:left="6384" w:hanging="360"/>
      </w:pPr>
      <w:rPr>
        <w:rFonts w:ascii="Symbol" w:hAnsi="Symbol" w:hint="default"/>
      </w:rPr>
    </w:lvl>
    <w:lvl w:ilvl="7" w:tplc="080C0003" w:tentative="1">
      <w:start w:val="1"/>
      <w:numFmt w:val="bullet"/>
      <w:lvlText w:val="o"/>
      <w:lvlJc w:val="left"/>
      <w:pPr>
        <w:ind w:left="7104" w:hanging="360"/>
      </w:pPr>
      <w:rPr>
        <w:rFonts w:ascii="Courier New" w:hAnsi="Courier New" w:cs="Courier New" w:hint="default"/>
      </w:rPr>
    </w:lvl>
    <w:lvl w:ilvl="8" w:tplc="080C0005" w:tentative="1">
      <w:start w:val="1"/>
      <w:numFmt w:val="bullet"/>
      <w:lvlText w:val=""/>
      <w:lvlJc w:val="left"/>
      <w:pPr>
        <w:ind w:left="7824" w:hanging="360"/>
      </w:pPr>
      <w:rPr>
        <w:rFonts w:ascii="Wingdings" w:hAnsi="Wingdings" w:hint="default"/>
      </w:rPr>
    </w:lvl>
  </w:abstractNum>
  <w:abstractNum w:abstractNumId="17" w15:restartNumberingAfterBreak="0">
    <w:nsid w:val="31316D47"/>
    <w:multiLevelType w:val="hybridMultilevel"/>
    <w:tmpl w:val="12F2497A"/>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8" w15:restartNumberingAfterBreak="0">
    <w:nsid w:val="32E6548E"/>
    <w:multiLevelType w:val="hybridMultilevel"/>
    <w:tmpl w:val="48265E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3CC6654"/>
    <w:multiLevelType w:val="singleLevel"/>
    <w:tmpl w:val="FFFFFFFF"/>
    <w:lvl w:ilvl="0">
      <w:start w:val="1"/>
      <w:numFmt w:val="bullet"/>
      <w:lvlText w:val=""/>
      <w:lvlJc w:val="left"/>
      <w:pPr>
        <w:ind w:left="1353" w:hanging="360"/>
      </w:pPr>
      <w:rPr>
        <w:rFonts w:ascii="Symbol" w:hAnsi="Symbol" w:hint="default"/>
      </w:rPr>
    </w:lvl>
  </w:abstractNum>
  <w:abstractNum w:abstractNumId="20" w15:restartNumberingAfterBreak="0">
    <w:nsid w:val="39E66B68"/>
    <w:multiLevelType w:val="hybridMultilevel"/>
    <w:tmpl w:val="7CFE7AA6"/>
    <w:lvl w:ilvl="0" w:tplc="E4261BF0">
      <w:start w:val="1"/>
      <w:numFmt w:val="bullet"/>
      <w:lvlText w:val=""/>
      <w:lvlJc w:val="left"/>
      <w:pPr>
        <w:ind w:left="927" w:hanging="360"/>
      </w:pPr>
      <w:rPr>
        <w:rFonts w:ascii="Symbol" w:hAnsi="Symbol" w:hint="default"/>
      </w:rPr>
    </w:lvl>
    <w:lvl w:ilvl="1" w:tplc="080C0003">
      <w:start w:val="1"/>
      <w:numFmt w:val="bullet"/>
      <w:lvlText w:val="o"/>
      <w:lvlJc w:val="left"/>
      <w:pPr>
        <w:ind w:left="1647" w:hanging="360"/>
      </w:pPr>
      <w:rPr>
        <w:rFonts w:ascii="Courier New" w:hAnsi="Courier New" w:cs="Courier New" w:hint="default"/>
      </w:rPr>
    </w:lvl>
    <w:lvl w:ilvl="2" w:tplc="080C0005">
      <w:start w:val="1"/>
      <w:numFmt w:val="bullet"/>
      <w:lvlText w:val=""/>
      <w:lvlJc w:val="left"/>
      <w:pPr>
        <w:ind w:left="2367" w:hanging="360"/>
      </w:pPr>
      <w:rPr>
        <w:rFonts w:ascii="Wingdings" w:hAnsi="Wingdings" w:hint="default"/>
      </w:rPr>
    </w:lvl>
    <w:lvl w:ilvl="3" w:tplc="080C0001">
      <w:start w:val="1"/>
      <w:numFmt w:val="bullet"/>
      <w:lvlText w:val=""/>
      <w:lvlJc w:val="left"/>
      <w:pPr>
        <w:ind w:left="3087" w:hanging="360"/>
      </w:pPr>
      <w:rPr>
        <w:rFonts w:ascii="Symbol" w:hAnsi="Symbol" w:hint="default"/>
      </w:rPr>
    </w:lvl>
    <w:lvl w:ilvl="4" w:tplc="080C0003">
      <w:start w:val="1"/>
      <w:numFmt w:val="bullet"/>
      <w:lvlText w:val="o"/>
      <w:lvlJc w:val="left"/>
      <w:pPr>
        <w:ind w:left="3807" w:hanging="360"/>
      </w:pPr>
      <w:rPr>
        <w:rFonts w:ascii="Courier New" w:hAnsi="Courier New" w:cs="Courier New" w:hint="default"/>
      </w:rPr>
    </w:lvl>
    <w:lvl w:ilvl="5" w:tplc="080C0005">
      <w:start w:val="1"/>
      <w:numFmt w:val="bullet"/>
      <w:lvlText w:val=""/>
      <w:lvlJc w:val="left"/>
      <w:pPr>
        <w:ind w:left="4527" w:hanging="360"/>
      </w:pPr>
      <w:rPr>
        <w:rFonts w:ascii="Wingdings" w:hAnsi="Wingdings" w:hint="default"/>
      </w:rPr>
    </w:lvl>
    <w:lvl w:ilvl="6" w:tplc="080C0001">
      <w:start w:val="1"/>
      <w:numFmt w:val="bullet"/>
      <w:lvlText w:val=""/>
      <w:lvlJc w:val="left"/>
      <w:pPr>
        <w:ind w:left="5247" w:hanging="360"/>
      </w:pPr>
      <w:rPr>
        <w:rFonts w:ascii="Symbol" w:hAnsi="Symbol" w:hint="default"/>
      </w:rPr>
    </w:lvl>
    <w:lvl w:ilvl="7" w:tplc="080C0003">
      <w:start w:val="1"/>
      <w:numFmt w:val="bullet"/>
      <w:lvlText w:val="o"/>
      <w:lvlJc w:val="left"/>
      <w:pPr>
        <w:ind w:left="5967" w:hanging="360"/>
      </w:pPr>
      <w:rPr>
        <w:rFonts w:ascii="Courier New" w:hAnsi="Courier New" w:cs="Courier New" w:hint="default"/>
      </w:rPr>
    </w:lvl>
    <w:lvl w:ilvl="8" w:tplc="080C0005">
      <w:start w:val="1"/>
      <w:numFmt w:val="bullet"/>
      <w:lvlText w:val=""/>
      <w:lvlJc w:val="left"/>
      <w:pPr>
        <w:ind w:left="6687" w:hanging="360"/>
      </w:pPr>
      <w:rPr>
        <w:rFonts w:ascii="Wingdings" w:hAnsi="Wingdings" w:hint="default"/>
      </w:rPr>
    </w:lvl>
  </w:abstractNum>
  <w:abstractNum w:abstractNumId="21" w15:restartNumberingAfterBreak="0">
    <w:nsid w:val="40B10FC0"/>
    <w:multiLevelType w:val="hybridMultilevel"/>
    <w:tmpl w:val="34921AE6"/>
    <w:lvl w:ilvl="0" w:tplc="5144F664">
      <w:numFmt w:val="bullet"/>
      <w:lvlText w:val=""/>
      <w:lvlJc w:val="left"/>
      <w:pPr>
        <w:tabs>
          <w:tab w:val="num" w:pos="1701"/>
        </w:tabs>
        <w:ind w:left="1701" w:hanging="454"/>
      </w:pPr>
      <w:rPr>
        <w:rFonts w:ascii="Symbol" w:hAnsi="Symbol" w:hint="default"/>
        <w:b/>
        <w:i w:val="0"/>
        <w:color w:val="auto"/>
        <w:sz w:val="1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D5189E"/>
    <w:multiLevelType w:val="hybridMultilevel"/>
    <w:tmpl w:val="55F62A74"/>
    <w:lvl w:ilvl="0" w:tplc="080C0009">
      <w:start w:val="1"/>
      <w:numFmt w:val="bullet"/>
      <w:lvlText w:val=""/>
      <w:lvlJc w:val="left"/>
      <w:pPr>
        <w:ind w:left="2084" w:hanging="360"/>
      </w:pPr>
      <w:rPr>
        <w:rFonts w:ascii="Wingdings" w:hAnsi="Wingdings" w:hint="default"/>
      </w:rPr>
    </w:lvl>
    <w:lvl w:ilvl="1" w:tplc="080C0003" w:tentative="1">
      <w:start w:val="1"/>
      <w:numFmt w:val="bullet"/>
      <w:lvlText w:val="o"/>
      <w:lvlJc w:val="left"/>
      <w:pPr>
        <w:ind w:left="2804" w:hanging="360"/>
      </w:pPr>
      <w:rPr>
        <w:rFonts w:ascii="Courier New" w:hAnsi="Courier New" w:hint="default"/>
      </w:rPr>
    </w:lvl>
    <w:lvl w:ilvl="2" w:tplc="080C0005" w:tentative="1">
      <w:start w:val="1"/>
      <w:numFmt w:val="bullet"/>
      <w:lvlText w:val=""/>
      <w:lvlJc w:val="left"/>
      <w:pPr>
        <w:ind w:left="3524" w:hanging="360"/>
      </w:pPr>
      <w:rPr>
        <w:rFonts w:ascii="Wingdings" w:hAnsi="Wingdings" w:hint="default"/>
      </w:rPr>
    </w:lvl>
    <w:lvl w:ilvl="3" w:tplc="080C0001" w:tentative="1">
      <w:start w:val="1"/>
      <w:numFmt w:val="bullet"/>
      <w:lvlText w:val=""/>
      <w:lvlJc w:val="left"/>
      <w:pPr>
        <w:ind w:left="4244" w:hanging="360"/>
      </w:pPr>
      <w:rPr>
        <w:rFonts w:ascii="Symbol" w:hAnsi="Symbol" w:hint="default"/>
      </w:rPr>
    </w:lvl>
    <w:lvl w:ilvl="4" w:tplc="080C0003" w:tentative="1">
      <w:start w:val="1"/>
      <w:numFmt w:val="bullet"/>
      <w:lvlText w:val="o"/>
      <w:lvlJc w:val="left"/>
      <w:pPr>
        <w:ind w:left="4964" w:hanging="360"/>
      </w:pPr>
      <w:rPr>
        <w:rFonts w:ascii="Courier New" w:hAnsi="Courier New" w:hint="default"/>
      </w:rPr>
    </w:lvl>
    <w:lvl w:ilvl="5" w:tplc="080C0005" w:tentative="1">
      <w:start w:val="1"/>
      <w:numFmt w:val="bullet"/>
      <w:lvlText w:val=""/>
      <w:lvlJc w:val="left"/>
      <w:pPr>
        <w:ind w:left="5684" w:hanging="360"/>
      </w:pPr>
      <w:rPr>
        <w:rFonts w:ascii="Wingdings" w:hAnsi="Wingdings" w:hint="default"/>
      </w:rPr>
    </w:lvl>
    <w:lvl w:ilvl="6" w:tplc="080C0001" w:tentative="1">
      <w:start w:val="1"/>
      <w:numFmt w:val="bullet"/>
      <w:lvlText w:val=""/>
      <w:lvlJc w:val="left"/>
      <w:pPr>
        <w:ind w:left="6404" w:hanging="360"/>
      </w:pPr>
      <w:rPr>
        <w:rFonts w:ascii="Symbol" w:hAnsi="Symbol" w:hint="default"/>
      </w:rPr>
    </w:lvl>
    <w:lvl w:ilvl="7" w:tplc="080C0003" w:tentative="1">
      <w:start w:val="1"/>
      <w:numFmt w:val="bullet"/>
      <w:lvlText w:val="o"/>
      <w:lvlJc w:val="left"/>
      <w:pPr>
        <w:ind w:left="7124" w:hanging="360"/>
      </w:pPr>
      <w:rPr>
        <w:rFonts w:ascii="Courier New" w:hAnsi="Courier New" w:hint="default"/>
      </w:rPr>
    </w:lvl>
    <w:lvl w:ilvl="8" w:tplc="080C0005" w:tentative="1">
      <w:start w:val="1"/>
      <w:numFmt w:val="bullet"/>
      <w:lvlText w:val=""/>
      <w:lvlJc w:val="left"/>
      <w:pPr>
        <w:ind w:left="7844" w:hanging="360"/>
      </w:pPr>
      <w:rPr>
        <w:rFonts w:ascii="Wingdings" w:hAnsi="Wingdings" w:hint="default"/>
      </w:rPr>
    </w:lvl>
  </w:abstractNum>
  <w:abstractNum w:abstractNumId="23" w15:restartNumberingAfterBreak="0">
    <w:nsid w:val="483E39CD"/>
    <w:multiLevelType w:val="hybridMultilevel"/>
    <w:tmpl w:val="FA5425D2"/>
    <w:lvl w:ilvl="0" w:tplc="E4261BF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F1A5674"/>
    <w:multiLevelType w:val="hybridMultilevel"/>
    <w:tmpl w:val="CF4E87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F775EAE"/>
    <w:multiLevelType w:val="hybridMultilevel"/>
    <w:tmpl w:val="FCBEB684"/>
    <w:lvl w:ilvl="0" w:tplc="080C0009">
      <w:start w:val="1"/>
      <w:numFmt w:val="bullet"/>
      <w:lvlText w:val=""/>
      <w:lvlJc w:val="left"/>
      <w:pPr>
        <w:ind w:left="1364" w:hanging="360"/>
      </w:pPr>
      <w:rPr>
        <w:rFonts w:ascii="Wingdings" w:hAnsi="Wingdings" w:hint="default"/>
      </w:rPr>
    </w:lvl>
    <w:lvl w:ilvl="1" w:tplc="080C0003" w:tentative="1">
      <w:start w:val="1"/>
      <w:numFmt w:val="bullet"/>
      <w:lvlText w:val="o"/>
      <w:lvlJc w:val="left"/>
      <w:pPr>
        <w:ind w:left="2084" w:hanging="360"/>
      </w:pPr>
      <w:rPr>
        <w:rFonts w:ascii="Courier New" w:hAnsi="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26" w15:restartNumberingAfterBreak="0">
    <w:nsid w:val="53970E95"/>
    <w:multiLevelType w:val="hybridMultilevel"/>
    <w:tmpl w:val="2628599E"/>
    <w:lvl w:ilvl="0" w:tplc="87AE9CE8">
      <w:start w:val="1"/>
      <w:numFmt w:val="bullet"/>
      <w:lvlText w:val=""/>
      <w:lvlJc w:val="left"/>
      <w:pPr>
        <w:ind w:left="1211" w:hanging="360"/>
      </w:pPr>
      <w:rPr>
        <w:rFonts w:ascii="Symbol" w:hAnsi="Symbol" w:hint="default"/>
        <w:b w:val="0"/>
        <w:i w:val="0"/>
        <w:caps w:val="0"/>
        <w:strike w:val="0"/>
        <w:dstrike w:val="0"/>
        <w:vanish w:val="0"/>
        <w:webHidden w:val="0"/>
        <w:color w:val="000000"/>
        <w:sz w:val="16"/>
        <w:szCs w:val="1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ind w:left="1931" w:hanging="360"/>
      </w:pPr>
      <w:rPr>
        <w:rFonts w:ascii="Courier New" w:hAnsi="Courier New" w:cs="Times New Roman"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Times New Roman"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Times New Roman" w:hint="default"/>
      </w:rPr>
    </w:lvl>
    <w:lvl w:ilvl="8" w:tplc="040C0005">
      <w:start w:val="1"/>
      <w:numFmt w:val="bullet"/>
      <w:lvlText w:val=""/>
      <w:lvlJc w:val="left"/>
      <w:pPr>
        <w:ind w:left="6971" w:hanging="360"/>
      </w:pPr>
      <w:rPr>
        <w:rFonts w:ascii="Wingdings" w:hAnsi="Wingdings" w:hint="default"/>
      </w:rPr>
    </w:lvl>
  </w:abstractNum>
  <w:abstractNum w:abstractNumId="27" w15:restartNumberingAfterBreak="0">
    <w:nsid w:val="54306C1E"/>
    <w:multiLevelType w:val="hybridMultilevel"/>
    <w:tmpl w:val="35601C96"/>
    <w:lvl w:ilvl="0" w:tplc="E4261BF0">
      <w:start w:val="1"/>
      <w:numFmt w:val="bullet"/>
      <w:lvlText w:val=""/>
      <w:lvlJc w:val="left"/>
      <w:pPr>
        <w:ind w:left="720" w:hanging="360"/>
      </w:pPr>
      <w:rPr>
        <w:rFonts w:ascii="Symbol" w:hAnsi="Symbol" w:hint="default"/>
      </w:rPr>
    </w:lvl>
    <w:lvl w:ilvl="1" w:tplc="75A0D64C">
      <w:numFmt w:val="bullet"/>
      <w:lvlText w:val="-"/>
      <w:lvlJc w:val="left"/>
      <w:pPr>
        <w:ind w:left="1440" w:hanging="360"/>
      </w:pPr>
      <w:rPr>
        <w:rFonts w:ascii="Calibri" w:eastAsia="Calibr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D204FBF"/>
    <w:multiLevelType w:val="hybridMultilevel"/>
    <w:tmpl w:val="54A6D9D6"/>
    <w:lvl w:ilvl="0" w:tplc="080C0001">
      <w:start w:val="1"/>
      <w:numFmt w:val="bullet"/>
      <w:lvlText w:val=""/>
      <w:lvlJc w:val="left"/>
      <w:pPr>
        <w:ind w:left="2084" w:hanging="360"/>
      </w:pPr>
      <w:rPr>
        <w:rFonts w:ascii="Symbol" w:hAnsi="Symbol" w:hint="default"/>
      </w:rPr>
    </w:lvl>
    <w:lvl w:ilvl="1" w:tplc="080C0003" w:tentative="1">
      <w:start w:val="1"/>
      <w:numFmt w:val="bullet"/>
      <w:lvlText w:val="o"/>
      <w:lvlJc w:val="left"/>
      <w:pPr>
        <w:ind w:left="2804" w:hanging="360"/>
      </w:pPr>
      <w:rPr>
        <w:rFonts w:ascii="Courier New" w:hAnsi="Courier New" w:hint="default"/>
      </w:rPr>
    </w:lvl>
    <w:lvl w:ilvl="2" w:tplc="080C0005" w:tentative="1">
      <w:start w:val="1"/>
      <w:numFmt w:val="bullet"/>
      <w:lvlText w:val=""/>
      <w:lvlJc w:val="left"/>
      <w:pPr>
        <w:ind w:left="3524" w:hanging="360"/>
      </w:pPr>
      <w:rPr>
        <w:rFonts w:ascii="Wingdings" w:hAnsi="Wingdings" w:hint="default"/>
      </w:rPr>
    </w:lvl>
    <w:lvl w:ilvl="3" w:tplc="080C0001" w:tentative="1">
      <w:start w:val="1"/>
      <w:numFmt w:val="bullet"/>
      <w:lvlText w:val=""/>
      <w:lvlJc w:val="left"/>
      <w:pPr>
        <w:ind w:left="4244" w:hanging="360"/>
      </w:pPr>
      <w:rPr>
        <w:rFonts w:ascii="Symbol" w:hAnsi="Symbol" w:hint="default"/>
      </w:rPr>
    </w:lvl>
    <w:lvl w:ilvl="4" w:tplc="080C0003" w:tentative="1">
      <w:start w:val="1"/>
      <w:numFmt w:val="bullet"/>
      <w:lvlText w:val="o"/>
      <w:lvlJc w:val="left"/>
      <w:pPr>
        <w:ind w:left="4964" w:hanging="360"/>
      </w:pPr>
      <w:rPr>
        <w:rFonts w:ascii="Courier New" w:hAnsi="Courier New" w:hint="default"/>
      </w:rPr>
    </w:lvl>
    <w:lvl w:ilvl="5" w:tplc="080C0005" w:tentative="1">
      <w:start w:val="1"/>
      <w:numFmt w:val="bullet"/>
      <w:lvlText w:val=""/>
      <w:lvlJc w:val="left"/>
      <w:pPr>
        <w:ind w:left="5684" w:hanging="360"/>
      </w:pPr>
      <w:rPr>
        <w:rFonts w:ascii="Wingdings" w:hAnsi="Wingdings" w:hint="default"/>
      </w:rPr>
    </w:lvl>
    <w:lvl w:ilvl="6" w:tplc="080C0001" w:tentative="1">
      <w:start w:val="1"/>
      <w:numFmt w:val="bullet"/>
      <w:lvlText w:val=""/>
      <w:lvlJc w:val="left"/>
      <w:pPr>
        <w:ind w:left="6404" w:hanging="360"/>
      </w:pPr>
      <w:rPr>
        <w:rFonts w:ascii="Symbol" w:hAnsi="Symbol" w:hint="default"/>
      </w:rPr>
    </w:lvl>
    <w:lvl w:ilvl="7" w:tplc="080C0003" w:tentative="1">
      <w:start w:val="1"/>
      <w:numFmt w:val="bullet"/>
      <w:lvlText w:val="o"/>
      <w:lvlJc w:val="left"/>
      <w:pPr>
        <w:ind w:left="7124" w:hanging="360"/>
      </w:pPr>
      <w:rPr>
        <w:rFonts w:ascii="Courier New" w:hAnsi="Courier New" w:hint="default"/>
      </w:rPr>
    </w:lvl>
    <w:lvl w:ilvl="8" w:tplc="080C0005" w:tentative="1">
      <w:start w:val="1"/>
      <w:numFmt w:val="bullet"/>
      <w:lvlText w:val=""/>
      <w:lvlJc w:val="left"/>
      <w:pPr>
        <w:ind w:left="7844" w:hanging="360"/>
      </w:pPr>
      <w:rPr>
        <w:rFonts w:ascii="Wingdings" w:hAnsi="Wingdings" w:hint="default"/>
      </w:rPr>
    </w:lvl>
  </w:abstractNum>
  <w:abstractNum w:abstractNumId="29" w15:restartNumberingAfterBreak="0">
    <w:nsid w:val="60E869EC"/>
    <w:multiLevelType w:val="hybridMultilevel"/>
    <w:tmpl w:val="4CA4AE78"/>
    <w:lvl w:ilvl="0" w:tplc="E4261BF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3434CB8"/>
    <w:multiLevelType w:val="hybridMultilevel"/>
    <w:tmpl w:val="27FC41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48C1F14"/>
    <w:multiLevelType w:val="multilevel"/>
    <w:tmpl w:val="F0BAC23A"/>
    <w:lvl w:ilvl="0">
      <w:start w:val="4"/>
      <w:numFmt w:val="decimal"/>
      <w:lvlText w:val="%1"/>
      <w:lvlJc w:val="left"/>
      <w:pPr>
        <w:ind w:left="360" w:hanging="360"/>
      </w:pPr>
      <w:rPr>
        <w:rFonts w:cs="Times New Roman" w:hint="default"/>
      </w:rPr>
    </w:lvl>
    <w:lvl w:ilvl="1">
      <w:start w:val="3"/>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32" w15:restartNumberingAfterBreak="0">
    <w:nsid w:val="6BC07A30"/>
    <w:multiLevelType w:val="hybridMultilevel"/>
    <w:tmpl w:val="95649560"/>
    <w:lvl w:ilvl="0" w:tplc="080C0001">
      <w:start w:val="1"/>
      <w:numFmt w:val="bullet"/>
      <w:lvlText w:val=""/>
      <w:lvlJc w:val="left"/>
      <w:pPr>
        <w:ind w:left="1364" w:hanging="360"/>
      </w:pPr>
      <w:rPr>
        <w:rFonts w:ascii="Symbol" w:hAnsi="Symbol" w:hint="default"/>
      </w:rPr>
    </w:lvl>
    <w:lvl w:ilvl="1" w:tplc="080C0003" w:tentative="1">
      <w:start w:val="1"/>
      <w:numFmt w:val="bullet"/>
      <w:lvlText w:val="o"/>
      <w:lvlJc w:val="left"/>
      <w:pPr>
        <w:ind w:left="2084" w:hanging="360"/>
      </w:pPr>
      <w:rPr>
        <w:rFonts w:ascii="Courier New" w:hAnsi="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33" w15:restartNumberingAfterBreak="0">
    <w:nsid w:val="6C1237DD"/>
    <w:multiLevelType w:val="hybridMultilevel"/>
    <w:tmpl w:val="5E381336"/>
    <w:lvl w:ilvl="0" w:tplc="3E00FF92">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4" w15:restartNumberingAfterBreak="0">
    <w:nsid w:val="6ED129E1"/>
    <w:multiLevelType w:val="hybridMultilevel"/>
    <w:tmpl w:val="B12A05C0"/>
    <w:lvl w:ilvl="0" w:tplc="42FE948C">
      <w:start w:val="1"/>
      <w:numFmt w:val="bullet"/>
      <w:lvlText w:val=""/>
      <w:lvlJc w:val="left"/>
      <w:pPr>
        <w:tabs>
          <w:tab w:val="num" w:pos="2880"/>
        </w:tabs>
        <w:ind w:left="2880" w:hanging="360"/>
      </w:pPr>
      <w:rPr>
        <w:rFonts w:ascii="Symbol" w:hAnsi="Symbol" w:hint="default"/>
        <w:color w:val="auto"/>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7E487C"/>
    <w:multiLevelType w:val="hybridMultilevel"/>
    <w:tmpl w:val="E3F6E156"/>
    <w:lvl w:ilvl="0" w:tplc="69B48404">
      <w:numFmt w:val="bullet"/>
      <w:lvlText w:val=""/>
      <w:lvlJc w:val="left"/>
      <w:pPr>
        <w:tabs>
          <w:tab w:val="num" w:pos="2974"/>
        </w:tabs>
        <w:ind w:left="2974" w:hanging="454"/>
      </w:pPr>
      <w:rPr>
        <w:rFonts w:ascii="Symbol" w:hAnsi="Symbol" w:hint="default"/>
        <w:b/>
        <w:i w:val="0"/>
        <w:color w:val="auto"/>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FE4219"/>
    <w:multiLevelType w:val="hybridMultilevel"/>
    <w:tmpl w:val="EB524F64"/>
    <w:lvl w:ilvl="0" w:tplc="FFFFFFFF">
      <w:start w:val="1"/>
      <w:numFmt w:val="bullet"/>
      <w:lvlText w:val=""/>
      <w:legacy w:legacy="1" w:legacySpace="0" w:legacyIndent="360"/>
      <w:lvlJc w:val="left"/>
      <w:pPr>
        <w:ind w:left="900" w:hanging="360"/>
      </w:pPr>
      <w:rPr>
        <w:rFonts w:ascii="Symbol" w:hAnsi="Symbol" w:hint="default"/>
      </w:rPr>
    </w:lvl>
    <w:lvl w:ilvl="1" w:tplc="FFFFFFFF">
      <w:start w:val="1"/>
      <w:numFmt w:val="bullet"/>
      <w:lvlText w:val=""/>
      <w:legacy w:legacy="1" w:legacySpace="0" w:legacyIndent="360"/>
      <w:lvlJc w:val="left"/>
      <w:pPr>
        <w:ind w:left="90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2F369058">
      <w:start w:val="4"/>
      <w:numFmt w:val="bullet"/>
      <w:lvlText w:val="-"/>
      <w:lvlJc w:val="left"/>
      <w:pPr>
        <w:tabs>
          <w:tab w:val="num" w:pos="2880"/>
        </w:tabs>
        <w:ind w:left="2880" w:hanging="360"/>
      </w:pPr>
      <w:rPr>
        <w:rFonts w:ascii="Times New Roman" w:eastAsia="Times New Roman" w:hAnsi="Times New Roman"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F37D7B"/>
    <w:multiLevelType w:val="hybridMultilevel"/>
    <w:tmpl w:val="244A70DC"/>
    <w:lvl w:ilvl="0" w:tplc="080C0001">
      <w:start w:val="1"/>
      <w:numFmt w:val="bullet"/>
      <w:lvlText w:val=""/>
      <w:lvlJc w:val="left"/>
      <w:pPr>
        <w:ind w:left="1364" w:hanging="360"/>
      </w:pPr>
      <w:rPr>
        <w:rFonts w:ascii="Symbol" w:hAnsi="Symbol" w:hint="default"/>
      </w:rPr>
    </w:lvl>
    <w:lvl w:ilvl="1" w:tplc="080C0003" w:tentative="1">
      <w:start w:val="1"/>
      <w:numFmt w:val="bullet"/>
      <w:lvlText w:val="o"/>
      <w:lvlJc w:val="left"/>
      <w:pPr>
        <w:ind w:left="2084" w:hanging="360"/>
      </w:pPr>
      <w:rPr>
        <w:rFonts w:ascii="Courier New" w:hAnsi="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38" w15:restartNumberingAfterBreak="0">
    <w:nsid w:val="7E98644E"/>
    <w:multiLevelType w:val="hybridMultilevel"/>
    <w:tmpl w:val="EDE89838"/>
    <w:lvl w:ilvl="0" w:tplc="080C0001">
      <w:start w:val="1"/>
      <w:numFmt w:val="bullet"/>
      <w:lvlText w:val=""/>
      <w:lvlJc w:val="left"/>
      <w:pPr>
        <w:tabs>
          <w:tab w:val="num" w:pos="2154"/>
        </w:tabs>
        <w:ind w:left="2154" w:hanging="454"/>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D77FB"/>
    <w:multiLevelType w:val="hybridMultilevel"/>
    <w:tmpl w:val="4490A2CA"/>
    <w:lvl w:ilvl="0" w:tplc="080C0001">
      <w:start w:val="1"/>
      <w:numFmt w:val="bullet"/>
      <w:lvlText w:val=""/>
      <w:lvlJc w:val="left"/>
      <w:pPr>
        <w:ind w:left="1183" w:hanging="360"/>
      </w:pPr>
      <w:rPr>
        <w:rFonts w:ascii="Symbol" w:hAnsi="Symbol" w:hint="default"/>
      </w:rPr>
    </w:lvl>
    <w:lvl w:ilvl="1" w:tplc="080C0003" w:tentative="1">
      <w:start w:val="1"/>
      <w:numFmt w:val="bullet"/>
      <w:lvlText w:val="o"/>
      <w:lvlJc w:val="left"/>
      <w:pPr>
        <w:ind w:left="1903" w:hanging="360"/>
      </w:pPr>
      <w:rPr>
        <w:rFonts w:ascii="Courier New" w:hAnsi="Courier New" w:hint="default"/>
      </w:rPr>
    </w:lvl>
    <w:lvl w:ilvl="2" w:tplc="080C0005" w:tentative="1">
      <w:start w:val="1"/>
      <w:numFmt w:val="bullet"/>
      <w:lvlText w:val=""/>
      <w:lvlJc w:val="left"/>
      <w:pPr>
        <w:ind w:left="2623" w:hanging="360"/>
      </w:pPr>
      <w:rPr>
        <w:rFonts w:ascii="Wingdings" w:hAnsi="Wingdings" w:hint="default"/>
      </w:rPr>
    </w:lvl>
    <w:lvl w:ilvl="3" w:tplc="080C0001" w:tentative="1">
      <w:start w:val="1"/>
      <w:numFmt w:val="bullet"/>
      <w:lvlText w:val=""/>
      <w:lvlJc w:val="left"/>
      <w:pPr>
        <w:ind w:left="3343" w:hanging="360"/>
      </w:pPr>
      <w:rPr>
        <w:rFonts w:ascii="Symbol" w:hAnsi="Symbol" w:hint="default"/>
      </w:rPr>
    </w:lvl>
    <w:lvl w:ilvl="4" w:tplc="080C0003" w:tentative="1">
      <w:start w:val="1"/>
      <w:numFmt w:val="bullet"/>
      <w:lvlText w:val="o"/>
      <w:lvlJc w:val="left"/>
      <w:pPr>
        <w:ind w:left="4063" w:hanging="360"/>
      </w:pPr>
      <w:rPr>
        <w:rFonts w:ascii="Courier New" w:hAnsi="Courier New" w:hint="default"/>
      </w:rPr>
    </w:lvl>
    <w:lvl w:ilvl="5" w:tplc="080C0005" w:tentative="1">
      <w:start w:val="1"/>
      <w:numFmt w:val="bullet"/>
      <w:lvlText w:val=""/>
      <w:lvlJc w:val="left"/>
      <w:pPr>
        <w:ind w:left="4783" w:hanging="360"/>
      </w:pPr>
      <w:rPr>
        <w:rFonts w:ascii="Wingdings" w:hAnsi="Wingdings" w:hint="default"/>
      </w:rPr>
    </w:lvl>
    <w:lvl w:ilvl="6" w:tplc="080C0001" w:tentative="1">
      <w:start w:val="1"/>
      <w:numFmt w:val="bullet"/>
      <w:lvlText w:val=""/>
      <w:lvlJc w:val="left"/>
      <w:pPr>
        <w:ind w:left="5503" w:hanging="360"/>
      </w:pPr>
      <w:rPr>
        <w:rFonts w:ascii="Symbol" w:hAnsi="Symbol" w:hint="default"/>
      </w:rPr>
    </w:lvl>
    <w:lvl w:ilvl="7" w:tplc="080C0003" w:tentative="1">
      <w:start w:val="1"/>
      <w:numFmt w:val="bullet"/>
      <w:lvlText w:val="o"/>
      <w:lvlJc w:val="left"/>
      <w:pPr>
        <w:ind w:left="6223" w:hanging="360"/>
      </w:pPr>
      <w:rPr>
        <w:rFonts w:ascii="Courier New" w:hAnsi="Courier New" w:hint="default"/>
      </w:rPr>
    </w:lvl>
    <w:lvl w:ilvl="8" w:tplc="080C0005" w:tentative="1">
      <w:start w:val="1"/>
      <w:numFmt w:val="bullet"/>
      <w:lvlText w:val=""/>
      <w:lvlJc w:val="left"/>
      <w:pPr>
        <w:ind w:left="6943" w:hanging="360"/>
      </w:pPr>
      <w:rPr>
        <w:rFonts w:ascii="Wingdings" w:hAnsi="Wingdings" w:hint="default"/>
      </w:rPr>
    </w:lvl>
  </w:abstractNum>
  <w:num w:numId="1">
    <w:abstractNumId w:val="2"/>
  </w:num>
  <w:num w:numId="2">
    <w:abstractNumId w:val="15"/>
  </w:num>
  <w:num w:numId="3">
    <w:abstractNumId w:val="19"/>
  </w:num>
  <w:num w:numId="4">
    <w:abstractNumId w:val="4"/>
  </w:num>
  <w:num w:numId="5">
    <w:abstractNumId w:val="10"/>
  </w:num>
  <w:num w:numId="6">
    <w:abstractNumId w:val="7"/>
  </w:num>
  <w:num w:numId="7">
    <w:abstractNumId w:val="32"/>
  </w:num>
  <w:num w:numId="8">
    <w:abstractNumId w:val="30"/>
  </w:num>
  <w:num w:numId="9">
    <w:abstractNumId w:val="31"/>
  </w:num>
  <w:num w:numId="10">
    <w:abstractNumId w:val="17"/>
  </w:num>
  <w:num w:numId="11">
    <w:abstractNumId w:val="9"/>
  </w:num>
  <w:num w:numId="12">
    <w:abstractNumId w:val="22"/>
  </w:num>
  <w:num w:numId="13">
    <w:abstractNumId w:val="25"/>
  </w:num>
  <w:num w:numId="14">
    <w:abstractNumId w:val="28"/>
  </w:num>
  <w:num w:numId="15">
    <w:abstractNumId w:val="24"/>
  </w:num>
  <w:num w:numId="16">
    <w:abstractNumId w:val="37"/>
  </w:num>
  <w:num w:numId="17">
    <w:abstractNumId w:val="8"/>
  </w:num>
  <w:num w:numId="18">
    <w:abstractNumId w:val="38"/>
  </w:num>
  <w:num w:numId="19">
    <w:abstractNumId w:val="34"/>
  </w:num>
  <w:num w:numId="20">
    <w:abstractNumId w:val="11"/>
  </w:num>
  <w:num w:numId="21">
    <w:abstractNumId w:val="35"/>
  </w:num>
  <w:num w:numId="22">
    <w:abstractNumId w:val="12"/>
  </w:num>
  <w:num w:numId="23">
    <w:abstractNumId w:val="21"/>
  </w:num>
  <w:num w:numId="24">
    <w:abstractNumId w:val="36"/>
  </w:num>
  <w:num w:numId="25">
    <w:abstractNumId w:val="3"/>
  </w:num>
  <w:num w:numId="26">
    <w:abstractNumId w:val="39"/>
  </w:num>
  <w:num w:numId="27">
    <w:abstractNumId w:val="13"/>
  </w:num>
  <w:num w:numId="28">
    <w:abstractNumId w:val="23"/>
  </w:num>
  <w:num w:numId="29">
    <w:abstractNumId w:val="1"/>
  </w:num>
  <w:num w:numId="30">
    <w:abstractNumId w:val="20"/>
  </w:num>
  <w:num w:numId="31">
    <w:abstractNumId w:val="27"/>
  </w:num>
  <w:num w:numId="32">
    <w:abstractNumId w:val="0"/>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6"/>
  </w:num>
  <w:num w:numId="36">
    <w:abstractNumId w:val="29"/>
  </w:num>
  <w:num w:numId="37">
    <w:abstractNumId w:val="14"/>
  </w:num>
  <w:num w:numId="38">
    <w:abstractNumId w:val="26"/>
  </w:num>
  <w:num w:numId="3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8"/>
  <w:hyphenationZone w:val="425"/>
  <w:doNotHyphenateCaps/>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4446384-2ED1-4903-B7A8-613C6E36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eastAsia="Times New Roman" w:hAnsi="Times New Roman"/>
      <w:sz w:val="22"/>
      <w:lang w:val="fr-FR" w:eastAsia="ar-SA"/>
    </w:rPr>
  </w:style>
  <w:style w:type="paragraph" w:styleId="Titre1">
    <w:name w:val="heading 1"/>
    <w:basedOn w:val="Normal"/>
    <w:next w:val="Normal"/>
    <w:link w:val="Titre1Car"/>
    <w:uiPriority w:val="99"/>
    <w:qFormat/>
    <w:pPr>
      <w:keepNext/>
      <w:widowControl w:val="0"/>
      <w:numPr>
        <w:numId w:val="1"/>
      </w:numPr>
      <w:jc w:val="both"/>
      <w:outlineLvl w:val="0"/>
    </w:pPr>
    <w:rPr>
      <w:rFonts w:ascii="Calibri" w:hAnsi="Calibri"/>
      <w:sz w:val="24"/>
      <w:szCs w:val="24"/>
    </w:rPr>
  </w:style>
  <w:style w:type="paragraph" w:styleId="Titre2">
    <w:name w:val="heading 2"/>
    <w:basedOn w:val="Normal"/>
    <w:next w:val="Normal"/>
    <w:link w:val="Titre2Car"/>
    <w:uiPriority w:val="99"/>
    <w:qFormat/>
    <w:pPr>
      <w:keepNext/>
      <w:numPr>
        <w:ilvl w:val="1"/>
        <w:numId w:val="1"/>
      </w:numPr>
      <w:jc w:val="center"/>
      <w:outlineLvl w:val="1"/>
    </w:pPr>
    <w:rPr>
      <w:rFonts w:eastAsia="Calibri"/>
      <w:b/>
      <w:bCs/>
    </w:rPr>
  </w:style>
  <w:style w:type="paragraph" w:styleId="Titre3">
    <w:name w:val="heading 3"/>
    <w:basedOn w:val="Titre"/>
    <w:next w:val="Corpsdetexte"/>
    <w:link w:val="Titre3Car"/>
    <w:uiPriority w:val="99"/>
    <w:qFormat/>
    <w:pPr>
      <w:keepNext/>
      <w:numPr>
        <w:ilvl w:val="2"/>
        <w:numId w:val="1"/>
      </w:numPr>
      <w:pBdr>
        <w:bottom w:val="none" w:sz="0" w:space="0" w:color="auto"/>
      </w:pBdr>
      <w:spacing w:before="240" w:after="120"/>
      <w:outlineLvl w:val="2"/>
    </w:pPr>
    <w:rPr>
      <w:rFonts w:ascii="Arial" w:eastAsia="MS Mincho" w:hAnsi="Arial" w:cs="Tahoma"/>
      <w:b/>
      <w:bCs/>
      <w:color w:val="auto"/>
      <w:spacing w:val="0"/>
      <w:kern w:val="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eastAsia="Times New Roman" w:cs="Times New Roman"/>
      <w:sz w:val="24"/>
      <w:lang w:val="fr-FR" w:eastAsia="ar-SA" w:bidi="ar-SA"/>
    </w:rPr>
  </w:style>
  <w:style w:type="character" w:customStyle="1" w:styleId="Titre2Car">
    <w:name w:val="Titre 2 Car"/>
    <w:basedOn w:val="Policepardfaut"/>
    <w:link w:val="Titre2"/>
    <w:uiPriority w:val="99"/>
    <w:locked/>
    <w:rPr>
      <w:rFonts w:ascii="Times New Roman" w:hAnsi="Times New Roman" w:cs="Times New Roman"/>
      <w:b/>
      <w:sz w:val="20"/>
      <w:lang w:val="fr-FR" w:eastAsia="ar-SA" w:bidi="ar-SA"/>
    </w:rPr>
  </w:style>
  <w:style w:type="character" w:customStyle="1" w:styleId="Titre3Car">
    <w:name w:val="Titre 3 Car"/>
    <w:basedOn w:val="Policepardfaut"/>
    <w:link w:val="Titre3"/>
    <w:uiPriority w:val="99"/>
    <w:locked/>
    <w:rPr>
      <w:rFonts w:ascii="Arial" w:eastAsia="MS Mincho" w:hAnsi="Arial" w:cs="Times New Roman"/>
      <w:b/>
      <w:sz w:val="28"/>
      <w:lang w:val="fr-FR" w:eastAsia="ar-SA" w:bidi="ar-SA"/>
    </w:rPr>
  </w:style>
  <w:style w:type="paragraph" w:customStyle="1" w:styleId="Texte">
    <w:name w:val="Texte"/>
    <w:basedOn w:val="Normal"/>
    <w:uiPriority w:val="99"/>
    <w:pPr>
      <w:widowControl w:val="0"/>
    </w:pPr>
    <w:rPr>
      <w:rFonts w:ascii="MS Serif" w:hAnsi="MS Serif"/>
      <w:lang w:val="fr-BE"/>
    </w:rPr>
  </w:style>
  <w:style w:type="paragraph" w:styleId="En-tte">
    <w:name w:val="header"/>
    <w:basedOn w:val="Normal"/>
    <w:link w:val="En-tteCar"/>
    <w:uiPriority w:val="99"/>
    <w:pPr>
      <w:tabs>
        <w:tab w:val="center" w:pos="4536"/>
        <w:tab w:val="right" w:pos="9072"/>
      </w:tabs>
    </w:pPr>
    <w:rPr>
      <w:rFonts w:eastAsia="Calibri"/>
    </w:rPr>
  </w:style>
  <w:style w:type="character" w:customStyle="1" w:styleId="En-tteCar">
    <w:name w:val="En-tête Car"/>
    <w:basedOn w:val="Policepardfaut"/>
    <w:link w:val="En-tte"/>
    <w:uiPriority w:val="99"/>
    <w:locked/>
    <w:rPr>
      <w:rFonts w:ascii="Times New Roman" w:hAnsi="Times New Roman" w:cs="Times New Roman"/>
      <w:sz w:val="20"/>
      <w:lang w:val="fr-FR" w:eastAsia="ar-SA" w:bidi="ar-SA"/>
    </w:rPr>
  </w:style>
  <w:style w:type="paragraph" w:styleId="Pieddepage">
    <w:name w:val="footer"/>
    <w:basedOn w:val="Normal"/>
    <w:link w:val="PieddepageCar"/>
    <w:uiPriority w:val="99"/>
    <w:pPr>
      <w:tabs>
        <w:tab w:val="center" w:pos="4536"/>
        <w:tab w:val="right" w:pos="9072"/>
      </w:tabs>
    </w:pPr>
    <w:rPr>
      <w:rFonts w:eastAsia="Calibri"/>
    </w:rPr>
  </w:style>
  <w:style w:type="character" w:customStyle="1" w:styleId="PieddepageCar">
    <w:name w:val="Pied de page Car"/>
    <w:basedOn w:val="Policepardfaut"/>
    <w:link w:val="Pieddepage"/>
    <w:uiPriority w:val="99"/>
    <w:locked/>
    <w:rPr>
      <w:rFonts w:ascii="Times New Roman" w:hAnsi="Times New Roman" w:cs="Times New Roman"/>
      <w:sz w:val="20"/>
      <w:lang w:val="fr-FR" w:eastAsia="ar-SA" w:bidi="ar-SA"/>
    </w:rPr>
  </w:style>
  <w:style w:type="paragraph" w:styleId="NormalWeb">
    <w:name w:val="Normal (Web)"/>
    <w:basedOn w:val="Normal"/>
    <w:uiPriority w:val="99"/>
    <w:pPr>
      <w:suppressAutoHyphens w:val="0"/>
      <w:spacing w:before="100" w:beforeAutospacing="1" w:after="100" w:afterAutospacing="1"/>
    </w:pPr>
    <w:rPr>
      <w:sz w:val="24"/>
      <w:szCs w:val="24"/>
      <w:lang w:val="fr-BE" w:eastAsia="fr-BE"/>
    </w:rPr>
  </w:style>
  <w:style w:type="paragraph" w:styleId="Titre">
    <w:name w:val="Title"/>
    <w:basedOn w:val="Normal"/>
    <w:next w:val="Normal"/>
    <w:link w:val="TitreCar"/>
    <w:uiPriority w:val="99"/>
    <w:qFormat/>
    <w:pPr>
      <w:pBdr>
        <w:bottom w:val="single" w:sz="8" w:space="4" w:color="4F81BD"/>
      </w:pBdr>
      <w:spacing w:after="300"/>
    </w:pPr>
    <w:rPr>
      <w:rFonts w:ascii="Cambria" w:eastAsia="Calibri" w:hAnsi="Cambria"/>
      <w:color w:val="17365D"/>
      <w:spacing w:val="5"/>
      <w:kern w:val="28"/>
      <w:sz w:val="52"/>
    </w:rPr>
  </w:style>
  <w:style w:type="character" w:customStyle="1" w:styleId="TitreCar">
    <w:name w:val="Titre Car"/>
    <w:basedOn w:val="Policepardfaut"/>
    <w:link w:val="Titre"/>
    <w:uiPriority w:val="99"/>
    <w:locked/>
    <w:rPr>
      <w:rFonts w:ascii="Cambria" w:hAnsi="Cambria" w:cs="Times New Roman"/>
      <w:color w:val="17365D"/>
      <w:spacing w:val="5"/>
      <w:kern w:val="28"/>
      <w:sz w:val="52"/>
      <w:lang w:val="fr-FR" w:eastAsia="ar-SA" w:bidi="ar-SA"/>
    </w:rPr>
  </w:style>
  <w:style w:type="paragraph" w:styleId="Corpsdetexte">
    <w:name w:val="Body Text"/>
    <w:basedOn w:val="Normal"/>
    <w:link w:val="CorpsdetexteCar"/>
    <w:uiPriority w:val="99"/>
    <w:semiHidden/>
    <w:pPr>
      <w:spacing w:after="120"/>
    </w:pPr>
    <w:rPr>
      <w:rFonts w:eastAsia="Calibri"/>
    </w:rPr>
  </w:style>
  <w:style w:type="character" w:customStyle="1" w:styleId="CorpsdetexteCar">
    <w:name w:val="Corps de texte Car"/>
    <w:basedOn w:val="Policepardfaut"/>
    <w:link w:val="Corpsdetexte"/>
    <w:uiPriority w:val="99"/>
    <w:semiHidden/>
    <w:locked/>
    <w:rPr>
      <w:rFonts w:ascii="Times New Roman" w:hAnsi="Times New Roman" w:cs="Times New Roman"/>
      <w:sz w:val="20"/>
      <w:lang w:val="fr-FR" w:eastAsia="ar-SA" w:bidi="ar-SA"/>
    </w:rPr>
  </w:style>
  <w:style w:type="paragraph" w:styleId="Textedebulles">
    <w:name w:val="Balloon Text"/>
    <w:basedOn w:val="Normal"/>
    <w:link w:val="TextedebullesCar"/>
    <w:uiPriority w:val="99"/>
    <w:semiHidden/>
    <w:rPr>
      <w:rFonts w:ascii="Tahoma" w:eastAsia="Calibri" w:hAnsi="Tahoma"/>
      <w:sz w:val="16"/>
    </w:rPr>
  </w:style>
  <w:style w:type="character" w:customStyle="1" w:styleId="TextedebullesCar">
    <w:name w:val="Texte de bulles Car"/>
    <w:basedOn w:val="Policepardfaut"/>
    <w:link w:val="Textedebulles"/>
    <w:uiPriority w:val="99"/>
    <w:semiHidden/>
    <w:locked/>
    <w:rPr>
      <w:rFonts w:ascii="Tahoma" w:hAnsi="Tahoma" w:cs="Times New Roman"/>
      <w:sz w:val="16"/>
      <w:lang w:val="fr-FR" w:eastAsia="ar-SA" w:bidi="ar-SA"/>
    </w:rPr>
  </w:style>
  <w:style w:type="paragraph" w:styleId="Paragraphedeliste">
    <w:name w:val="List Paragraph"/>
    <w:basedOn w:val="Normal"/>
    <w:uiPriority w:val="34"/>
    <w:qFormat/>
    <w:pPr>
      <w:ind w:left="720"/>
    </w:pPr>
  </w:style>
  <w:style w:type="paragraph" w:styleId="Retraitcorpsdetexte">
    <w:name w:val="Body Text Indent"/>
    <w:basedOn w:val="Normal"/>
    <w:link w:val="RetraitcorpsdetexteCar"/>
    <w:uiPriority w:val="99"/>
    <w:pPr>
      <w:spacing w:after="120"/>
      <w:ind w:left="283"/>
    </w:pPr>
    <w:rPr>
      <w:rFonts w:eastAsia="Calibri"/>
    </w:rPr>
  </w:style>
  <w:style w:type="character" w:customStyle="1" w:styleId="RetraitcorpsdetexteCar">
    <w:name w:val="Retrait corps de texte Car"/>
    <w:basedOn w:val="Policepardfaut"/>
    <w:link w:val="Retraitcorpsdetexte"/>
    <w:uiPriority w:val="99"/>
    <w:semiHidden/>
    <w:locked/>
    <w:rPr>
      <w:rFonts w:ascii="Times New Roman" w:hAnsi="Times New Roman" w:cs="Times New Roman"/>
      <w:sz w:val="20"/>
      <w:lang w:val="fr-FR" w:eastAsia="ar-SA" w:bidi="ar-SA"/>
    </w:rPr>
  </w:style>
  <w:style w:type="paragraph" w:customStyle="1" w:styleId="normal01">
    <w:name w:val="normal01"/>
    <w:basedOn w:val="Normal"/>
    <w:uiPriority w:val="99"/>
    <w:pPr>
      <w:widowControl w:val="0"/>
      <w:numPr>
        <w:numId w:val="4"/>
      </w:numPr>
      <w:spacing w:line="240" w:lineRule="atLeast"/>
    </w:pPr>
    <w:rPr>
      <w:rFonts w:eastAsia="Calibri"/>
    </w:rPr>
  </w:style>
  <w:style w:type="paragraph" w:customStyle="1" w:styleId="Normaltxtdosped">
    <w:name w:val="Normal.txtdosped"/>
    <w:uiPriority w:val="99"/>
    <w:pPr>
      <w:autoSpaceDE w:val="0"/>
      <w:autoSpaceDN w:val="0"/>
    </w:pPr>
    <w:rPr>
      <w:rFonts w:ascii="Times New Roman" w:eastAsia="Times New Roman" w:hAnsi="Times New Roman"/>
      <w:lang w:val="fr-FR" w:eastAsia="fr-FR"/>
    </w:rPr>
  </w:style>
  <w:style w:type="paragraph" w:customStyle="1" w:styleId="Default">
    <w:name w:val="Default"/>
    <w:pPr>
      <w:autoSpaceDE w:val="0"/>
      <w:autoSpaceDN w:val="0"/>
      <w:adjustRightInd w:val="0"/>
    </w:pPr>
    <w:rPr>
      <w:rFonts w:ascii="Garamond" w:hAnsi="Garamond" w:cs="Garamond"/>
      <w:color w:val="000000"/>
      <w:sz w:val="24"/>
      <w:szCs w:val="24"/>
    </w:rPr>
  </w:style>
  <w:style w:type="paragraph" w:customStyle="1" w:styleId="Retraitcorpsdetexte21">
    <w:name w:val="Retrait corps de texte 21"/>
    <w:basedOn w:val="Normal"/>
    <w:uiPriority w:val="99"/>
    <w:pPr>
      <w:suppressAutoHyphens w:val="0"/>
      <w:ind w:left="426"/>
      <w:jc w:val="both"/>
    </w:pPr>
    <w:rPr>
      <w:lang w:eastAsia="fr-FR"/>
    </w:rPr>
  </w:style>
  <w:style w:type="character" w:styleId="Numrodepage">
    <w:name w:val="page number"/>
    <w:uiPriority w:val="99"/>
    <w:rPr>
      <w:rFonts w:cs="Times New Roman"/>
    </w:rPr>
  </w:style>
  <w:style w:type="paragraph" w:styleId="Listepuces2">
    <w:name w:val="List Bullet 2"/>
    <w:basedOn w:val="Normal"/>
    <w:autoRedefine/>
    <w:pPr>
      <w:suppressAutoHyphens w:val="0"/>
      <w:spacing w:before="120" w:after="120"/>
      <w:ind w:left="142"/>
      <w:jc w:val="both"/>
    </w:pPr>
    <w:rPr>
      <w:i/>
      <w:szCs w:val="22"/>
      <w:lang w:eastAsia="fr-FR"/>
    </w:rPr>
  </w:style>
  <w:style w:type="character" w:customStyle="1" w:styleId="SansinterligneCar">
    <w:name w:val="Sans interligne Car"/>
    <w:link w:val="Sansinterligne"/>
    <w:uiPriority w:val="1"/>
    <w:locked/>
    <w:rPr>
      <w:sz w:val="24"/>
      <w:szCs w:val="24"/>
      <w:lang w:val="fr-FR" w:eastAsia="fr-FR"/>
    </w:rPr>
  </w:style>
  <w:style w:type="paragraph" w:styleId="Sansinterligne">
    <w:name w:val="No Spacing"/>
    <w:link w:val="SansinterligneCar"/>
    <w:uiPriority w:val="1"/>
    <w:qFormat/>
    <w:rPr>
      <w:sz w:val="24"/>
      <w:szCs w:val="24"/>
      <w:lang w:val="fr-FR" w:eastAsia="fr-FR"/>
    </w:rPr>
  </w:style>
  <w:style w:type="paragraph" w:styleId="Listepuces3">
    <w:name w:val="List Bullet 3"/>
    <w:basedOn w:val="Normal"/>
    <w:pPr>
      <w:widowControl w:val="0"/>
      <w:numPr>
        <w:numId w:val="32"/>
      </w:numPr>
      <w:contextualSpacing/>
    </w:pPr>
    <w:rPr>
      <w:rFonts w:eastAsia="SimSun" w:cs="Mangal"/>
      <w:sz w:val="24"/>
      <w:szCs w:val="21"/>
      <w:lang w:val="fr-BE" w:eastAsia="zh-CN" w:bidi="hi-IN"/>
    </w:rPr>
  </w:style>
  <w:style w:type="paragraph" w:styleId="Notedebasdepage">
    <w:name w:val="footnote text"/>
    <w:basedOn w:val="Normal"/>
    <w:link w:val="NotedebasdepageCar"/>
    <w:uiPriority w:val="99"/>
    <w:pPr>
      <w:widowControl w:val="0"/>
    </w:pPr>
    <w:rPr>
      <w:rFonts w:eastAsia="SimSun" w:cs="Mangal"/>
      <w:sz w:val="20"/>
      <w:szCs w:val="18"/>
      <w:lang w:val="fr-BE" w:eastAsia="zh-CN" w:bidi="hi-IN"/>
    </w:rPr>
  </w:style>
  <w:style w:type="character" w:customStyle="1" w:styleId="NotedebasdepageCar">
    <w:name w:val="Note de bas de page Car"/>
    <w:basedOn w:val="Policepardfaut"/>
    <w:link w:val="Notedebasdepage"/>
    <w:uiPriority w:val="99"/>
    <w:rPr>
      <w:rFonts w:ascii="Times New Roman" w:eastAsia="SimSun" w:hAnsi="Times New Roman" w:cs="Mangal"/>
      <w:szCs w:val="18"/>
      <w:lang w:eastAsia="zh-CN" w:bidi="hi-IN"/>
    </w:rPr>
  </w:style>
  <w:style w:type="character" w:styleId="Appelnotedebasdep">
    <w:name w:val="footnote reference"/>
    <w:uiPriority w:val="99"/>
    <w:rPr>
      <w:vertAlign w:val="superscript"/>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rPr>
  </w:style>
  <w:style w:type="character" w:customStyle="1" w:styleId="CommentaireCar">
    <w:name w:val="Commentaire Car"/>
    <w:basedOn w:val="Policepardfaut"/>
    <w:link w:val="Commentaire"/>
    <w:uiPriority w:val="99"/>
    <w:semiHidden/>
    <w:rPr>
      <w:rFonts w:ascii="Times New Roman" w:eastAsia="Times New Roman" w:hAnsi="Times New Roman"/>
      <w:lang w:val="fr-FR" w:eastAsia="ar-SA"/>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imes New Roman" w:eastAsia="Times New Roman" w:hAnsi="Times New Roman"/>
      <w:b/>
      <w:bCs/>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488177">
      <w:bodyDiv w:val="1"/>
      <w:marLeft w:val="0"/>
      <w:marRight w:val="0"/>
      <w:marTop w:val="0"/>
      <w:marBottom w:val="0"/>
      <w:divBdr>
        <w:top w:val="none" w:sz="0" w:space="0" w:color="auto"/>
        <w:left w:val="none" w:sz="0" w:space="0" w:color="auto"/>
        <w:bottom w:val="none" w:sz="0" w:space="0" w:color="auto"/>
        <w:right w:val="none" w:sz="0" w:space="0" w:color="auto"/>
      </w:divBdr>
    </w:div>
    <w:div w:id="535701508">
      <w:bodyDiv w:val="1"/>
      <w:marLeft w:val="0"/>
      <w:marRight w:val="0"/>
      <w:marTop w:val="0"/>
      <w:marBottom w:val="0"/>
      <w:divBdr>
        <w:top w:val="none" w:sz="0" w:space="0" w:color="auto"/>
        <w:left w:val="none" w:sz="0" w:space="0" w:color="auto"/>
        <w:bottom w:val="none" w:sz="0" w:space="0" w:color="auto"/>
        <w:right w:val="none" w:sz="0" w:space="0" w:color="auto"/>
      </w:divBdr>
    </w:div>
    <w:div w:id="697237590">
      <w:bodyDiv w:val="1"/>
      <w:marLeft w:val="0"/>
      <w:marRight w:val="0"/>
      <w:marTop w:val="0"/>
      <w:marBottom w:val="0"/>
      <w:divBdr>
        <w:top w:val="none" w:sz="0" w:space="0" w:color="auto"/>
        <w:left w:val="none" w:sz="0" w:space="0" w:color="auto"/>
        <w:bottom w:val="none" w:sz="0" w:space="0" w:color="auto"/>
        <w:right w:val="none" w:sz="0" w:space="0" w:color="auto"/>
      </w:divBdr>
    </w:div>
    <w:div w:id="786002486">
      <w:bodyDiv w:val="1"/>
      <w:marLeft w:val="0"/>
      <w:marRight w:val="0"/>
      <w:marTop w:val="0"/>
      <w:marBottom w:val="0"/>
      <w:divBdr>
        <w:top w:val="none" w:sz="0" w:space="0" w:color="auto"/>
        <w:left w:val="none" w:sz="0" w:space="0" w:color="auto"/>
        <w:bottom w:val="none" w:sz="0" w:space="0" w:color="auto"/>
        <w:right w:val="none" w:sz="0" w:space="0" w:color="auto"/>
      </w:divBdr>
    </w:div>
    <w:div w:id="1108160524">
      <w:marLeft w:val="0"/>
      <w:marRight w:val="0"/>
      <w:marTop w:val="0"/>
      <w:marBottom w:val="0"/>
      <w:divBdr>
        <w:top w:val="none" w:sz="0" w:space="0" w:color="auto"/>
        <w:left w:val="none" w:sz="0" w:space="0" w:color="auto"/>
        <w:bottom w:val="none" w:sz="0" w:space="0" w:color="auto"/>
        <w:right w:val="none" w:sz="0" w:space="0" w:color="auto"/>
      </w:divBdr>
    </w:div>
    <w:div w:id="11081605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CDF27858ACEE4EBF91A1F4B4A451F2" ma:contentTypeVersion="" ma:contentTypeDescription="Crée un document." ma:contentTypeScope="" ma:versionID="d3840140636f4f49793ffaf84e4f0892">
  <xsd:schema xmlns:xsd="http://www.w3.org/2001/XMLSchema" xmlns:xs="http://www.w3.org/2001/XMLSchema" xmlns:p="http://schemas.microsoft.com/office/2006/metadata/properties" xmlns:ns2="dc8e7e39-c901-47bb-a845-35953d124009" xmlns:ns3="89d389cb-ba4c-4d18-90ae-0a23c8e42119" targetNamespace="http://schemas.microsoft.com/office/2006/metadata/properties" ma:root="true" ma:fieldsID="b96ba3e941395f84690117f5dd03b764" ns2:_="" ns3:_="">
    <xsd:import namespace="dc8e7e39-c901-47bb-a845-35953d124009"/>
    <xsd:import namespace="89d389cb-ba4c-4d18-90ae-0a23c8e421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e7e39-c901-47bb-a845-35953d124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d389cb-ba4c-4d18-90ae-0a23c8e42119"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Identifian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B3B71E-07C5-4437-B9D4-A45B82C15D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43E059-AE7D-4035-876F-C0FE7BC32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e7e39-c901-47bb-a845-35953d124009"/>
    <ds:schemaRef ds:uri="89d389cb-ba4c-4d18-90ae-0a23c8e42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B2BA27-0D09-47F7-9A64-02F5D424C6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871</Words>
  <Characters>4793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MINISTERE DE LA COMMUNAUTE FRANCAISE</vt:lpstr>
    </vt:vector>
  </TitlesOfParts>
  <Company>Institut Ferdinand Cocq Ixelles</Company>
  <LinksUpToDate>false</LinksUpToDate>
  <CharactersWithSpaces>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creator>christiane</dc:creator>
  <cp:lastModifiedBy>goulet02</cp:lastModifiedBy>
  <cp:revision>10</cp:revision>
  <cp:lastPrinted>2016-12-07T14:02:00Z</cp:lastPrinted>
  <dcterms:created xsi:type="dcterms:W3CDTF">2019-11-13T08:58:00Z</dcterms:created>
  <dcterms:modified xsi:type="dcterms:W3CDTF">2020-04-27T17:56:00Z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0x0101005CCDF27858ACEE4EBF91A1F4B4A451F2</vt:lpwstr>
  </property>
</Properties>
</file>