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>
      <w:pPr>
        <w:pStyle w:val="Titre2"/>
        <w:rPr>
          <w:caps/>
          <w:sz w:val="22"/>
        </w:rPr>
      </w:pPr>
      <w:r>
        <w:rPr>
          <w:sz w:val="22"/>
        </w:rP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 xml:space="preserve">BACHELIER ASSISTANT SOCIAL : </w:t>
      </w:r>
    </w:p>
    <w:p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>INTRODUCTION AU DROIT ET AUX INSTITUTIONS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 20 02 U35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fr-FR"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418" w:right="992" w:bottom="1293" w:left="1418" w:header="720" w:footer="720" w:gutter="0"/>
          <w:cols w:space="720"/>
          <w:titlePg/>
          <w:docGrid w:linePitch="360"/>
        </w:sectPr>
      </w:pPr>
    </w:p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10 octobre 2016,</w:t>
      </w:r>
    </w:p>
    <w:p>
      <w:pPr>
        <w:jc w:val="center"/>
        <w:rPr>
          <w:lang w:val="fr-BE"/>
        </w:rPr>
      </w:pPr>
      <w:r>
        <w:rPr>
          <w:b/>
        </w:rPr>
        <w:t xml:space="preserve">sur avis conforme </w:t>
      </w:r>
      <w:r>
        <w:rPr>
          <w:b/>
          <w:sz w:val="22"/>
          <w:szCs w:val="22"/>
          <w:lang w:eastAsia="fr-FR"/>
        </w:rPr>
        <w:t>sur avis conforme du Conseil général</w:t>
      </w:r>
    </w:p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BACHELIER ASSISTANT SOCIAL : INTRODUCTION AU DROIT ET AUX INSTITUTIONS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DE FORMATION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de formation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3" w:name="FIP"/>
      <w:bookmarkEnd w:id="3"/>
      <w:r>
        <w:rPr>
          <w:sz w:val="22"/>
        </w:rPr>
        <w:t>L'unité d'enseignement  vise à permettre à l'étudiant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s'approprier des connaissances générales dans le domaine du droit et des institutions ;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s'initier à l'application de ces connaissances  dans le champ professionnel de l'assistant social.</w:t>
      </w:r>
    </w:p>
    <w:p>
      <w:pPr>
        <w:suppressAutoHyphens w:val="0"/>
        <w:spacing w:after="120"/>
        <w:ind w:left="851"/>
        <w:jc w:val="both"/>
        <w:rPr>
          <w:sz w:val="22"/>
        </w:rPr>
      </w:pPr>
    </w:p>
    <w:p/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792"/>
        <w:rPr>
          <w:b/>
          <w:sz w:val="22"/>
        </w:rPr>
      </w:pP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résumer les idées essentielles d’un texte d’intérêt général et les critiquer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produire un message structuré qui exprime un avis, une prise de position devant un fait, un événement, … (des documents d’information pouvant être mis à disposition).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pStyle w:val="normal01"/>
        <w:numPr>
          <w:ilvl w:val="0"/>
          <w:numId w:val="0"/>
        </w:numPr>
        <w:tabs>
          <w:tab w:val="left" w:pos="1068"/>
        </w:tabs>
        <w:ind w:left="900"/>
        <w:rPr>
          <w:szCs w:val="22"/>
        </w:rPr>
      </w:pPr>
      <w:r>
        <w:rPr>
          <w:szCs w:val="22"/>
        </w:rPr>
        <w:t xml:space="preserve">Certificat d'enseignement secondaire supérieur - C.E.S.S. 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  <w:r>
        <w:rPr>
          <w:b/>
          <w:sz w:val="22"/>
        </w:rPr>
        <w:lastRenderedPageBreak/>
        <w:t>ACQUIS D'APPRENTISSAGE</w:t>
      </w:r>
      <w:r>
        <w:rPr>
          <w:b/>
          <w:sz w:val="22"/>
          <w:u w:val="single"/>
        </w:rPr>
        <w:t xml:space="preserve"> </w:t>
      </w:r>
    </w:p>
    <w:p>
      <w:pPr>
        <w:ind w:left="284"/>
        <w:jc w:val="both"/>
        <w:rPr>
          <w:b/>
          <w:sz w:val="22"/>
          <w:szCs w:val="22"/>
        </w:rPr>
      </w:pPr>
    </w:p>
    <w:p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capable,</w:t>
      </w:r>
    </w:p>
    <w:p>
      <w:pPr>
        <w:ind w:left="360"/>
        <w:jc w:val="both"/>
        <w:rPr>
          <w:sz w:val="22"/>
          <w:szCs w:val="22"/>
        </w:rPr>
      </w:pPr>
    </w:p>
    <w:p>
      <w:pPr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à partir d'un document relatif  au champ professionnel de l'assistant social portant sur des notions de droit et institutions :</w:t>
      </w:r>
    </w:p>
    <w:p>
      <w:pPr>
        <w:ind w:left="851"/>
        <w:jc w:val="both"/>
        <w:rPr>
          <w:i/>
          <w:sz w:val="22"/>
          <w:szCs w:val="22"/>
        </w:rPr>
      </w:pP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préciser les institutions politiques ou  judiciaires identifiées 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déterminer le cadre légal et le champ de compétences des acteurs concernés 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d'établir un lien entre les notions juridiques relevées et le champ d'application professionnel.</w:t>
      </w:r>
    </w:p>
    <w:p>
      <w:pPr>
        <w:spacing w:before="120" w:after="120"/>
        <w:jc w:val="both"/>
        <w:rPr>
          <w:bCs/>
          <w:iCs/>
          <w:sz w:val="22"/>
          <w:szCs w:val="22"/>
        </w:rPr>
      </w:pPr>
    </w:p>
    <w:p>
      <w:pPr>
        <w:ind w:left="284"/>
        <w:jc w:val="both"/>
        <w:rPr>
          <w:b/>
          <w:sz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sz w:val="22"/>
        </w:rPr>
      </w:pP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 xml:space="preserve">le niveau de pertinence des concepts mobilisés, 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le niveau de précision dans les termes employés,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le degré d'exhaustivité des éléments relevés.</w:t>
      </w:r>
    </w:p>
    <w:p>
      <w:pPr>
        <w:jc w:val="both"/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rPr>
          <w:sz w:val="22"/>
        </w:rPr>
      </w:pPr>
      <w:r>
        <w:rPr>
          <w:sz w:val="22"/>
        </w:rPr>
        <w:t>L'étudiant sera capable :</w:t>
      </w: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rPr>
          <w:sz w:val="22"/>
        </w:rPr>
      </w:pPr>
    </w:p>
    <w:p>
      <w:pPr>
        <w:rPr>
          <w:lang w:eastAsia="fr-BE"/>
        </w:rPr>
      </w:pPr>
    </w:p>
    <w:p>
      <w:pPr>
        <w:rPr>
          <w:i/>
          <w:sz w:val="22"/>
          <w:szCs w:val="22"/>
          <w:lang w:val="fr-BE" w:eastAsia="fr-BE"/>
        </w:rPr>
      </w:pPr>
      <w:r>
        <w:rPr>
          <w:i/>
          <w:sz w:val="22"/>
          <w:szCs w:val="22"/>
          <w:lang w:val="fr-BE" w:eastAsia="fr-BE"/>
        </w:rPr>
        <w:t>en vue de développer ses connaissances générales en droit et les modalités de mise en pratique dans la sphère professionnelle, en disposant des textes législatifs et de la documentation ad hoc,</w:t>
      </w: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jc w:val="both"/>
        <w:rPr>
          <w:i/>
          <w:sz w:val="22"/>
        </w:rPr>
      </w:pP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caractériser un Etat de droit 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décrire succinctement les principes de l'organisation politique de notre pays (état de droit, monarchie, séparation des pouvoirs, …) 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caractériser les structures fédérales, communautaires, régionales, provinciales et communales 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définir les différentes subdivisions du droit 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 xml:space="preserve">d'identifier les sources du droit commun (international, européen et interne) et de percevoir la hiérarchie des normes, notamment aux </w:t>
      </w:r>
      <w:r>
        <w:rPr>
          <w:sz w:val="22"/>
          <w:lang w:eastAsia="fr-FR"/>
        </w:rPr>
        <w:t>différents niveaux de pouvoir en Belgique (niveaux fédéral, communautaire, régional, provincial et communal) </w:t>
      </w:r>
      <w:r>
        <w:rPr>
          <w:sz w:val="22"/>
        </w:rPr>
        <w:t>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d'expliciter les procédures de contrôle de la hiérarchie des normes et du respect des règles  normatives 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préciser la règle de droit, ses caractéristiques et ses champs d’application (règles impératives et supplétives, sanction, nullité,…) dans le temps et dans l’espace 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 xml:space="preserve">d'identifier le champ </w:t>
      </w:r>
      <w:r>
        <w:rPr>
          <w:sz w:val="22"/>
          <w:lang w:eastAsia="fr-FR"/>
        </w:rPr>
        <w:t>des différentes juridictions de l’ordre judiciaire, y compris les procédures y afférentes 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citer les différents acteurs du droit judiciaire et d’en expliquer les rôles et les missions.</w:t>
      </w:r>
    </w:p>
    <w:p>
      <w:pPr>
        <w:rPr>
          <w:b/>
          <w:sz w:val="22"/>
          <w:szCs w:val="22"/>
          <w:lang w:eastAsia="fr-BE"/>
        </w:rPr>
      </w:pPr>
    </w:p>
    <w:p>
      <w:pPr>
        <w:rPr>
          <w:b/>
          <w:sz w:val="22"/>
        </w:rPr>
      </w:pPr>
      <w:r>
        <w:rPr>
          <w:b/>
          <w:sz w:val="22"/>
        </w:rPr>
        <w:br w:type="page"/>
      </w: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  <w:u w:val="single"/>
        </w:rPr>
        <w:t>HORAIRE MINIMUM DE L’UNITE D'ENSEIGNEMENT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708" w:hanging="708"/>
        <w:rPr>
          <w:sz w:val="22"/>
        </w:rPr>
      </w:pPr>
      <w:bookmarkStart w:id="4" w:name="CAT"/>
      <w:bookmarkEnd w:id="4"/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au droit et institutions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bookmarkStart w:id="5" w:name="VOL"/>
            <w:bookmarkEnd w:id="5"/>
            <w:r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left="426" w:right="47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rPr>
          <w:b/>
          <w:sz w:val="22"/>
        </w:rPr>
      </w:pPr>
    </w:p>
    <w:p>
      <w:pPr>
        <w:jc w:val="both"/>
      </w:pPr>
    </w:p>
    <w:p>
      <w:pPr>
        <w:ind w:left="426"/>
        <w:jc w:val="both"/>
      </w:pPr>
    </w:p>
    <w:p/>
    <w:sectPr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right"/>
      <w:rPr>
        <w:sz w:val="16"/>
        <w:szCs w:val="16"/>
        <w:lang w:val="fr-BE"/>
      </w:rPr>
    </w:pPr>
    <w:r>
      <w:rPr>
        <w:sz w:val="16"/>
        <w:szCs w:val="16"/>
        <w:lang w:val="fr-BE"/>
      </w:rPr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 xml:space="preserve"> sur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szCs w:val="16"/>
      </w:rPr>
    </w:pPr>
    <w:r>
      <w:rPr>
        <w:sz w:val="16"/>
        <w:szCs w:val="16"/>
      </w:rPr>
      <w:t>Bac AS : Introduction au droit et aux institutions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>/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5" w15:restartNumberingAfterBreak="0">
    <w:nsid w:val="03C3033F"/>
    <w:multiLevelType w:val="hybridMultilevel"/>
    <w:tmpl w:val="81D68932"/>
    <w:lvl w:ilvl="0" w:tplc="6D7C933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F7C6885"/>
    <w:multiLevelType w:val="hybridMultilevel"/>
    <w:tmpl w:val="E4C64358"/>
    <w:lvl w:ilvl="0" w:tplc="6D7C933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26F1848"/>
    <w:multiLevelType w:val="hybridMultilevel"/>
    <w:tmpl w:val="4E347068"/>
    <w:lvl w:ilvl="0" w:tplc="DB829182">
      <w:start w:val="1"/>
      <w:numFmt w:val="bullet"/>
      <w:lvlText w:val=""/>
      <w:lvlJc w:val="left"/>
      <w:pPr>
        <w:tabs>
          <w:tab w:val="num" w:pos="1050"/>
        </w:tabs>
        <w:ind w:left="1050" w:hanging="340"/>
      </w:pPr>
      <w:rPr>
        <w:rFonts w:ascii="Symbol" w:hAnsi="Symbol" w:hint="default"/>
        <w:sz w:val="20"/>
      </w:rPr>
    </w:lvl>
    <w:lvl w:ilvl="1" w:tplc="F9780B3E">
      <w:start w:val="1"/>
      <w:numFmt w:val="bullet"/>
      <w:lvlText w:val=""/>
      <w:lvlJc w:val="left"/>
      <w:pPr>
        <w:tabs>
          <w:tab w:val="num" w:pos="2150"/>
        </w:tabs>
        <w:ind w:left="2073" w:hanging="283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F2B0D29"/>
    <w:multiLevelType w:val="hybridMultilevel"/>
    <w:tmpl w:val="83B41724"/>
    <w:lvl w:ilvl="0" w:tplc="6D7C933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67216"/>
    <w:multiLevelType w:val="hybridMultilevel"/>
    <w:tmpl w:val="DE0E6C44"/>
    <w:lvl w:ilvl="0" w:tplc="34C253DC">
      <w:numFmt w:val="bullet"/>
      <w:lvlText w:val=""/>
      <w:lvlJc w:val="left"/>
      <w:pPr>
        <w:tabs>
          <w:tab w:val="num" w:pos="851"/>
        </w:tabs>
        <w:ind w:left="851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56831B74"/>
    <w:multiLevelType w:val="hybridMultilevel"/>
    <w:tmpl w:val="C6622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C04C8"/>
    <w:multiLevelType w:val="hybridMultilevel"/>
    <w:tmpl w:val="57887138"/>
    <w:lvl w:ilvl="0" w:tplc="080C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color w:val="auto"/>
          <w:sz w:val="18"/>
        </w:rPr>
      </w:lvl>
    </w:lvlOverride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7892DCD-41BE-4B67-8557-3485F3E2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" w:hAnsi="Calibri" w:cs="Times New Roman"/>
      <w:sz w:val="24"/>
      <w:szCs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cs="Times New Roman"/>
      <w:b/>
      <w:bCs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Institut Ferdinand Cocq Ixelles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12</cp:revision>
  <dcterms:created xsi:type="dcterms:W3CDTF">2015-08-17T12:41:00Z</dcterms:created>
  <dcterms:modified xsi:type="dcterms:W3CDTF">2016-12-07T14:02:00Z</dcterms:modified>
</cp:coreProperties>
</file>