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numPr>
          <w:ilvl w:val="1"/>
          <w:numId w:val="11"/>
        </w:numPr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  <w:numPr>
          <w:ilvl w:val="0"/>
          <w:numId w:val="11"/>
        </w:numPr>
      </w:pPr>
    </w:p>
    <w:p>
      <w:pPr>
        <w:pStyle w:val="Titre2"/>
        <w:numPr>
          <w:ilvl w:val="1"/>
          <w:numId w:val="11"/>
        </w:numPr>
        <w:rPr>
          <w:caps/>
          <w:sz w:val="22"/>
        </w:rPr>
      </w:pPr>
      <w:r>
        <w:rPr>
          <w:sz w:val="22"/>
        </w:rPr>
        <w:t>UNITE D'ENSEIGNEMENT</w:t>
      </w:r>
      <w:r>
        <w:rPr>
          <w:b w:val="0"/>
          <w:bCs w:val="0"/>
          <w:sz w:val="22"/>
        </w:rPr>
        <w:t xml:space="preserve"> 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pStyle w:val="Titre2"/>
        <w:numPr>
          <w:ilvl w:val="1"/>
          <w:numId w:val="11"/>
        </w:numPr>
        <w:rPr>
          <w:caps/>
          <w:sz w:val="28"/>
          <w:szCs w:val="28"/>
        </w:rPr>
      </w:pPr>
      <w:r>
        <w:rPr>
          <w:bCs w:val="0"/>
          <w:sz w:val="32"/>
          <w:szCs w:val="32"/>
        </w:rPr>
        <w:t xml:space="preserve">BACHELIER ASSISTANT SOCIAL : </w:t>
      </w:r>
    </w:p>
    <w:p>
      <w:pPr>
        <w:pStyle w:val="Titre2"/>
        <w:numPr>
          <w:ilvl w:val="1"/>
          <w:numId w:val="11"/>
        </w:numPr>
        <w:rPr>
          <w:caps/>
          <w:sz w:val="28"/>
          <w:szCs w:val="28"/>
        </w:rPr>
      </w:pPr>
      <w:r>
        <w:rPr>
          <w:bCs w:val="0"/>
          <w:sz w:val="32"/>
          <w:szCs w:val="32"/>
        </w:rPr>
        <w:t>METHODOLOGIE DU SERVICE SOCIAL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SUPERIEUR DE TYPE COURT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Domaine : Sciences Politiques et sociales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CODE : 99 20 05 U35 D1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fr-FR" w:eastAsia="fr-FR"/>
              </w:rPr>
              <w:t>CODE DU DOMAINE DE FORMATION : 902</w:t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/>
    <w:p/>
    <w:p/>
    <w:p/>
    <w:p/>
    <w:p>
      <w:pPr>
        <w:jc w:val="center"/>
        <w:rPr>
          <w:b/>
        </w:rPr>
      </w:pPr>
      <w:r>
        <w:rPr>
          <w:b/>
        </w:rPr>
        <w:t>Approbation du Gouvernement de la Communauté française du 10 octobre 2016,</w:t>
      </w:r>
    </w:p>
    <w:p>
      <w:pPr>
        <w:jc w:val="center"/>
        <w:rPr>
          <w:b/>
          <w:sz w:val="22"/>
          <w:szCs w:val="22"/>
          <w:lang w:eastAsia="fr-FR"/>
        </w:rPr>
      </w:pPr>
      <w:r>
        <w:rPr>
          <w:b/>
        </w:rPr>
        <w:t xml:space="preserve">sur avis conforme </w:t>
      </w:r>
      <w:r>
        <w:rPr>
          <w:b/>
          <w:sz w:val="22"/>
          <w:szCs w:val="22"/>
          <w:lang w:eastAsia="fr-FR"/>
        </w:rPr>
        <w:t>sur avis conforme du Conseil général</w:t>
      </w:r>
    </w:p>
    <w:tbl>
      <w:tblPr>
        <w:tblW w:w="93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0"/>
      </w:tblGrid>
      <w:tr>
        <w:trPr>
          <w:jc w:val="center"/>
        </w:trPr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pStyle w:val="Titre2"/>
              <w:rPr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 xml:space="preserve">BACHELIER ASSISTANT SOCIAL : </w:t>
            </w:r>
          </w:p>
          <w:p>
            <w:pPr>
              <w:pStyle w:val="Titre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METHODOLOGIE DU SERVICE SOCIAL</w:t>
            </w:r>
          </w:p>
          <w:p/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enseignement superieur </w:t>
            </w:r>
            <w:bookmarkStart w:id="1" w:name="OLE_LINK1"/>
            <w:bookmarkStart w:id="2" w:name="OLE_LINK2"/>
            <w:r>
              <w:rPr>
                <w:b/>
                <w:caps/>
              </w:rPr>
              <w:t>de type court</w:t>
            </w:r>
            <w:bookmarkEnd w:id="1"/>
            <w:bookmarkEnd w:id="2"/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/>
    <w:p>
      <w:pPr>
        <w:numPr>
          <w:ilvl w:val="1"/>
          <w:numId w:val="3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ind w:left="425"/>
        <w:rPr>
          <w:b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de formation doit :</w:t>
      </w:r>
    </w:p>
    <w:p>
      <w:pPr>
        <w:numPr>
          <w:ilvl w:val="0"/>
          <w:numId w:val="4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4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color w:val="FF0000"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bookmarkStart w:id="3" w:name="FIP"/>
      <w:bookmarkEnd w:id="3"/>
      <w:r>
        <w:rPr>
          <w:sz w:val="22"/>
        </w:rPr>
        <w:t>Cette unité d'enseignement vise à permettre à l’étudiant de maîtriser :</w:t>
      </w:r>
    </w:p>
    <w:p>
      <w:pPr>
        <w:numPr>
          <w:ilvl w:val="0"/>
          <w:numId w:val="4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les notions de base de la méthodologie et les valeurs liées à la profession d’assistant social ;</w:t>
      </w:r>
    </w:p>
    <w:p>
      <w:pPr>
        <w:numPr>
          <w:ilvl w:val="0"/>
          <w:numId w:val="4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les notions de base relatives à la déontologie professionnelle ;</w:t>
      </w:r>
    </w:p>
    <w:p>
      <w:pPr>
        <w:numPr>
          <w:ilvl w:val="0"/>
          <w:numId w:val="4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le vocabulaire et les principes de base de la communication écrite professionnelle.</w:t>
      </w:r>
    </w:p>
    <w:p>
      <w:pPr>
        <w:pStyle w:val="Paragraphedeliste"/>
        <w:ind w:left="0"/>
        <w:rPr>
          <w:sz w:val="22"/>
          <w:szCs w:val="22"/>
        </w:rPr>
      </w:pPr>
    </w:p>
    <w:p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rPr>
          <w:sz w:val="22"/>
        </w:rPr>
      </w:pPr>
    </w:p>
    <w:p>
      <w:pPr>
        <w:numPr>
          <w:ilvl w:val="1"/>
          <w:numId w:val="3"/>
        </w:numPr>
        <w:tabs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>
      <w:pPr>
        <w:ind w:left="792"/>
        <w:rPr>
          <w:b/>
          <w:sz w:val="22"/>
        </w:rPr>
      </w:pPr>
    </w:p>
    <w:p>
      <w:pPr>
        <w:numPr>
          <w:ilvl w:val="0"/>
          <w:numId w:val="4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résumer les idées essentielles d’un texte d’intérêt général et les critiquer ;</w:t>
      </w:r>
    </w:p>
    <w:p>
      <w:pPr>
        <w:numPr>
          <w:ilvl w:val="0"/>
          <w:numId w:val="4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produire un message structuré qui exprime un avis, une prise de position devant un fait, un événement, … (des documents d’information pouvant être mis à disposition).</w:t>
      </w:r>
    </w:p>
    <w:p>
      <w:pPr>
        <w:tabs>
          <w:tab w:val="num" w:pos="1134"/>
        </w:tabs>
        <w:suppressAutoHyphens w:val="0"/>
        <w:ind w:left="1134"/>
        <w:jc w:val="both"/>
        <w:rPr>
          <w:sz w:val="22"/>
        </w:rPr>
      </w:pPr>
    </w:p>
    <w:p>
      <w:pPr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>
      <w:pPr>
        <w:rPr>
          <w:sz w:val="22"/>
          <w:szCs w:val="22"/>
        </w:rPr>
      </w:pPr>
    </w:p>
    <w:p>
      <w:pPr>
        <w:pStyle w:val="normal01"/>
        <w:numPr>
          <w:ilvl w:val="0"/>
          <w:numId w:val="0"/>
        </w:numPr>
        <w:tabs>
          <w:tab w:val="left" w:pos="1068"/>
        </w:tabs>
        <w:ind w:left="900"/>
        <w:rPr>
          <w:szCs w:val="22"/>
        </w:rPr>
      </w:pPr>
      <w:r>
        <w:rPr>
          <w:szCs w:val="22"/>
        </w:rPr>
        <w:t xml:space="preserve">Certificat d’enseignement secondaire supérieur – C.E.S.S. </w:t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br w:type="page"/>
      </w:r>
    </w:p>
    <w:p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 xml:space="preserve">ACQUIS D'APPRENTISSAGE </w:t>
      </w:r>
    </w:p>
    <w:p>
      <w:pPr>
        <w:pStyle w:val="Paragraphedeliste1"/>
        <w:ind w:left="180"/>
        <w:jc w:val="both"/>
        <w:rPr>
          <w:b/>
          <w:sz w:val="22"/>
          <w:szCs w:val="22"/>
        </w:rPr>
      </w:pPr>
    </w:p>
    <w:p>
      <w:pPr>
        <w:pStyle w:val="Paragraphedeliste1"/>
        <w:ind w:left="180"/>
        <w:jc w:val="both"/>
        <w:rPr>
          <w:bCs/>
          <w:iCs/>
          <w:sz w:val="22"/>
          <w:szCs w:val="22"/>
        </w:rPr>
      </w:pPr>
      <w:r>
        <w:rPr>
          <w:b/>
          <w:sz w:val="22"/>
          <w:szCs w:val="22"/>
        </w:rPr>
        <w:t xml:space="preserve">Pour atteindre le seuil de réussite, </w:t>
      </w:r>
      <w:r>
        <w:rPr>
          <w:b/>
          <w:bCs/>
          <w:iCs/>
          <w:sz w:val="22"/>
          <w:szCs w:val="22"/>
        </w:rPr>
        <w:t>l’étudiant sera capable </w:t>
      </w:r>
      <w:r>
        <w:rPr>
          <w:bCs/>
          <w:iCs/>
          <w:sz w:val="22"/>
          <w:szCs w:val="22"/>
        </w:rPr>
        <w:t>:</w:t>
      </w:r>
    </w:p>
    <w:p>
      <w:pPr>
        <w:pStyle w:val="Paragraphedeliste1"/>
        <w:ind w:left="180"/>
        <w:jc w:val="both"/>
        <w:rPr>
          <w:sz w:val="22"/>
          <w:szCs w:val="22"/>
        </w:rPr>
      </w:pPr>
    </w:p>
    <w:p>
      <w:pPr>
        <w:ind w:left="180"/>
        <w:jc w:val="both"/>
        <w:rPr>
          <w:i/>
          <w:sz w:val="22"/>
        </w:rPr>
      </w:pPr>
      <w:r>
        <w:rPr>
          <w:sz w:val="22"/>
          <w:szCs w:val="22"/>
        </w:rPr>
        <w:t>à</w:t>
      </w:r>
      <w:r>
        <w:rPr>
          <w:i/>
          <w:sz w:val="22"/>
        </w:rPr>
        <w:t xml:space="preserve"> partir d'une situation issue du champ professionnel de l'assistant social, </w:t>
      </w:r>
    </w:p>
    <w:p>
      <w:pPr>
        <w:ind w:left="180"/>
        <w:jc w:val="both"/>
        <w:rPr>
          <w:bCs/>
          <w:iCs/>
          <w:sz w:val="22"/>
          <w:szCs w:val="22"/>
        </w:rPr>
      </w:pPr>
      <w:r>
        <w:rPr>
          <w:i/>
          <w:sz w:val="22"/>
        </w:rPr>
        <w:t>en respectant les usages de la langue française et du vocabulaire professionnel,</w:t>
      </w:r>
      <w:r>
        <w:rPr>
          <w:bCs/>
          <w:iCs/>
          <w:sz w:val="22"/>
          <w:szCs w:val="22"/>
        </w:rPr>
        <w:t xml:space="preserve"> </w:t>
      </w:r>
    </w:p>
    <w:p>
      <w:pPr>
        <w:ind w:left="284"/>
        <w:jc w:val="both"/>
        <w:rPr>
          <w:sz w:val="22"/>
          <w:szCs w:val="22"/>
        </w:rPr>
      </w:pPr>
    </w:p>
    <w:p>
      <w:pPr>
        <w:pStyle w:val="Paragraphedeliste"/>
        <w:numPr>
          <w:ilvl w:val="0"/>
          <w:numId w:val="8"/>
        </w:numPr>
        <w:spacing w:before="120"/>
        <w:ind w:left="1066" w:hanging="357"/>
        <w:rPr>
          <w:sz w:val="22"/>
        </w:rPr>
      </w:pPr>
      <w:r>
        <w:rPr>
          <w:sz w:val="22"/>
        </w:rPr>
        <w:t>d'identifier et de décrire les principes de base de la méthodologie de l’intervention sociale et de la déontologie professionnelle ;</w:t>
      </w:r>
    </w:p>
    <w:p>
      <w:pPr>
        <w:pStyle w:val="Paragraphedeliste"/>
        <w:numPr>
          <w:ilvl w:val="0"/>
          <w:numId w:val="8"/>
        </w:numPr>
        <w:spacing w:before="120"/>
        <w:ind w:left="1066" w:hanging="357"/>
        <w:rPr>
          <w:sz w:val="22"/>
        </w:rPr>
      </w:pPr>
      <w:r>
        <w:rPr>
          <w:sz w:val="22"/>
        </w:rPr>
        <w:t>d'identifier les enjeux, les aspects idéologiques et les valeurs en présence ;</w:t>
      </w:r>
    </w:p>
    <w:p>
      <w:pPr>
        <w:pStyle w:val="Paragraphedeliste"/>
        <w:numPr>
          <w:ilvl w:val="0"/>
          <w:numId w:val="8"/>
        </w:numPr>
        <w:spacing w:before="120"/>
        <w:ind w:left="1066" w:hanging="357"/>
        <w:rPr>
          <w:sz w:val="22"/>
        </w:rPr>
      </w:pPr>
      <w:r>
        <w:rPr>
          <w:sz w:val="22"/>
        </w:rPr>
        <w:t>de décrire l'approche méthodologique présentée au regard de la demande, du mandat et du contexte institutionnel ;</w:t>
      </w:r>
    </w:p>
    <w:p>
      <w:pPr>
        <w:pStyle w:val="Paragraphedeliste"/>
        <w:numPr>
          <w:ilvl w:val="0"/>
          <w:numId w:val="8"/>
        </w:numPr>
        <w:spacing w:before="120"/>
        <w:ind w:left="1066" w:hanging="357"/>
        <w:rPr>
          <w:sz w:val="22"/>
        </w:rPr>
      </w:pPr>
      <w:r>
        <w:rPr>
          <w:sz w:val="22"/>
        </w:rPr>
        <w:t>de rédiger un écrit professionnel adapté à la situation proposée et d'en justifier la forme et le contenu en fonction du contexte, des objectifs poursuivis et de la destination.</w:t>
      </w:r>
    </w:p>
    <w:p>
      <w:pPr>
        <w:ind w:left="1440"/>
        <w:rPr>
          <w:sz w:val="22"/>
        </w:rPr>
      </w:pPr>
    </w:p>
    <w:p>
      <w:pPr>
        <w:ind w:left="284"/>
        <w:jc w:val="both"/>
        <w:rPr>
          <w:b/>
          <w:sz w:val="22"/>
        </w:rPr>
      </w:pPr>
    </w:p>
    <w:p>
      <w:pPr>
        <w:ind w:left="284"/>
        <w:jc w:val="both"/>
        <w:rPr>
          <w:sz w:val="22"/>
        </w:rPr>
      </w:pPr>
      <w:r>
        <w:rPr>
          <w:b/>
          <w:sz w:val="22"/>
        </w:rPr>
        <w:t xml:space="preserve">Pour la détermination du degré de maîtrise, </w:t>
      </w:r>
      <w:r>
        <w:rPr>
          <w:sz w:val="22"/>
        </w:rPr>
        <w:t>il sera tenu compte des critères suivants :</w:t>
      </w:r>
    </w:p>
    <w:p>
      <w:pPr>
        <w:ind w:left="284"/>
        <w:jc w:val="both"/>
        <w:rPr>
          <w:b/>
          <w:sz w:val="22"/>
        </w:rPr>
      </w:pP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le niveau de précision dans les termes employés,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le degré de pertinence des concepts mobilisés,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le degré d’intégration des concepts.</w:t>
      </w:r>
    </w:p>
    <w:p>
      <w:pPr>
        <w:jc w:val="both"/>
      </w:pPr>
    </w:p>
    <w:p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PROGRAMME</w:t>
      </w:r>
    </w:p>
    <w:p>
      <w:pPr>
        <w:rPr>
          <w:b/>
          <w:sz w:val="22"/>
        </w:rPr>
      </w:pPr>
    </w:p>
    <w:p>
      <w:pPr>
        <w:pStyle w:val="Paragraphedeliste1"/>
        <w:ind w:left="180"/>
        <w:jc w:val="both"/>
        <w:rPr>
          <w:i/>
          <w:sz w:val="22"/>
        </w:rPr>
      </w:pPr>
      <w:r>
        <w:rPr>
          <w:i/>
          <w:sz w:val="22"/>
        </w:rPr>
        <w:t xml:space="preserve">A partir de situations exemplatives du champ professionnel de l'assistant social, </w:t>
      </w:r>
    </w:p>
    <w:p>
      <w:pPr>
        <w:pStyle w:val="Paragraphedeliste1"/>
        <w:ind w:left="180"/>
        <w:jc w:val="both"/>
        <w:rPr>
          <w:i/>
          <w:sz w:val="22"/>
        </w:rPr>
      </w:pPr>
      <w:r>
        <w:rPr>
          <w:i/>
          <w:sz w:val="22"/>
        </w:rPr>
        <w:t>en respectant les usages de la langue française et du vocabulaire professionnel,</w:t>
      </w:r>
    </w:p>
    <w:p>
      <w:pPr>
        <w:pStyle w:val="Paragraphedeliste1"/>
        <w:ind w:left="180"/>
        <w:jc w:val="both"/>
        <w:rPr>
          <w:i/>
          <w:sz w:val="22"/>
        </w:rPr>
      </w:pPr>
    </w:p>
    <w:p>
      <w:pPr>
        <w:ind w:left="1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l’étudiant sera capable :</w:t>
      </w:r>
    </w:p>
    <w:p>
      <w:pPr>
        <w:ind w:left="284"/>
        <w:jc w:val="both"/>
        <w:rPr>
          <w:bCs/>
          <w:iCs/>
          <w:sz w:val="22"/>
          <w:szCs w:val="22"/>
        </w:rPr>
      </w:pPr>
    </w:p>
    <w:p>
      <w:pPr>
        <w:ind w:left="284"/>
        <w:rPr>
          <w:b/>
          <w:sz w:val="22"/>
        </w:rPr>
      </w:pPr>
      <w:r>
        <w:rPr>
          <w:b/>
          <w:sz w:val="22"/>
        </w:rPr>
        <w:t xml:space="preserve">4.1. Principes généraux du travail social </w:t>
      </w:r>
    </w:p>
    <w:p>
      <w:pPr>
        <w:rPr>
          <w:b/>
          <w:sz w:val="22"/>
        </w:rPr>
      </w:pPr>
    </w:p>
    <w:p>
      <w:pPr>
        <w:pStyle w:val="Paragraphedeliste"/>
        <w:numPr>
          <w:ilvl w:val="0"/>
          <w:numId w:val="8"/>
        </w:numPr>
        <w:spacing w:before="120"/>
        <w:ind w:left="1066" w:hanging="357"/>
        <w:rPr>
          <w:sz w:val="22"/>
        </w:rPr>
      </w:pPr>
      <w:r>
        <w:rPr>
          <w:sz w:val="22"/>
        </w:rPr>
        <w:t>de définir les différents principes du travail social, ses buts et ses valeurs ;</w:t>
      </w:r>
    </w:p>
    <w:p>
      <w:pPr>
        <w:pStyle w:val="Paragraphedeliste"/>
        <w:numPr>
          <w:ilvl w:val="0"/>
          <w:numId w:val="8"/>
        </w:numPr>
        <w:spacing w:before="120"/>
        <w:ind w:left="1066" w:hanging="357"/>
        <w:rPr>
          <w:sz w:val="22"/>
        </w:rPr>
      </w:pPr>
      <w:r>
        <w:rPr>
          <w:sz w:val="22"/>
        </w:rPr>
        <w:t>d'identifier les valeurs sociétales et les idéologies afin d’en cerner les enjeux ;</w:t>
      </w:r>
    </w:p>
    <w:p>
      <w:pPr>
        <w:pStyle w:val="Paragraphedeliste"/>
        <w:numPr>
          <w:ilvl w:val="0"/>
          <w:numId w:val="8"/>
        </w:numPr>
        <w:spacing w:before="120"/>
        <w:ind w:left="1066" w:hanging="357"/>
        <w:rPr>
          <w:sz w:val="22"/>
        </w:rPr>
      </w:pPr>
      <w:r>
        <w:rPr>
          <w:sz w:val="22"/>
        </w:rPr>
        <w:t>d’identifier les services sociaux compétents pour les problématiques étudiées.</w:t>
      </w:r>
    </w:p>
    <w:p>
      <w:pPr>
        <w:ind w:left="360"/>
        <w:rPr>
          <w:sz w:val="22"/>
        </w:rPr>
      </w:pPr>
    </w:p>
    <w:p>
      <w:pPr>
        <w:ind w:left="284"/>
        <w:rPr>
          <w:b/>
          <w:sz w:val="22"/>
        </w:rPr>
      </w:pPr>
      <w:r>
        <w:rPr>
          <w:b/>
          <w:sz w:val="22"/>
        </w:rPr>
        <w:t>4.2. Approche méthodologique de l’intervention sociale</w:t>
      </w:r>
    </w:p>
    <w:p>
      <w:pPr>
        <w:pStyle w:val="Paragraphedeliste"/>
        <w:numPr>
          <w:ilvl w:val="0"/>
          <w:numId w:val="8"/>
        </w:numPr>
        <w:spacing w:before="120"/>
        <w:ind w:left="1066" w:hanging="357"/>
        <w:jc w:val="both"/>
        <w:rPr>
          <w:sz w:val="22"/>
        </w:rPr>
      </w:pPr>
      <w:r>
        <w:rPr>
          <w:sz w:val="22"/>
        </w:rPr>
        <w:t>de distinguer les différentes approches méthodologiques de l'intervention sociale (entretien d'aide, enquête sociale…) ;</w:t>
      </w:r>
    </w:p>
    <w:p>
      <w:pPr>
        <w:pStyle w:val="Paragraphedeliste"/>
        <w:numPr>
          <w:ilvl w:val="0"/>
          <w:numId w:val="8"/>
        </w:numPr>
        <w:spacing w:before="120"/>
        <w:ind w:left="1066" w:hanging="357"/>
        <w:jc w:val="both"/>
        <w:rPr>
          <w:sz w:val="22"/>
        </w:rPr>
      </w:pPr>
      <w:r>
        <w:rPr>
          <w:sz w:val="22"/>
        </w:rPr>
        <w:t>de situer le contexte institutionnel et les approches méthodologiques associées ;</w:t>
      </w:r>
    </w:p>
    <w:p>
      <w:pPr>
        <w:pStyle w:val="Paragraphedeliste"/>
        <w:numPr>
          <w:ilvl w:val="0"/>
          <w:numId w:val="8"/>
        </w:numPr>
        <w:spacing w:before="120"/>
        <w:ind w:left="1066" w:hanging="357"/>
        <w:jc w:val="both"/>
        <w:rPr>
          <w:sz w:val="22"/>
        </w:rPr>
      </w:pPr>
      <w:r>
        <w:rPr>
          <w:sz w:val="22"/>
        </w:rPr>
        <w:t>de situer la demande de la personne, famille, groupe ou collectivité en regard du mandat de l'assistant social ;</w:t>
      </w:r>
    </w:p>
    <w:p>
      <w:pPr>
        <w:pStyle w:val="Paragraphedeliste"/>
        <w:numPr>
          <w:ilvl w:val="0"/>
          <w:numId w:val="8"/>
        </w:numPr>
        <w:spacing w:before="120"/>
        <w:ind w:left="1066" w:hanging="357"/>
        <w:jc w:val="both"/>
        <w:rPr>
          <w:sz w:val="22"/>
        </w:rPr>
      </w:pPr>
      <w:r>
        <w:rPr>
          <w:sz w:val="22"/>
        </w:rPr>
        <w:t>de justifier le choix d'une approche méthodologique à partir d'une grille d'analyse  pluridisciplinaire (droit, sociologie, sciences humaines et sociales, déontologie…) ;</w:t>
      </w:r>
    </w:p>
    <w:p>
      <w:pPr>
        <w:pStyle w:val="Paragraphedeliste"/>
        <w:numPr>
          <w:ilvl w:val="0"/>
          <w:numId w:val="8"/>
        </w:numPr>
        <w:spacing w:before="120"/>
        <w:ind w:left="1066" w:hanging="357"/>
        <w:rPr>
          <w:sz w:val="22"/>
        </w:rPr>
      </w:pPr>
      <w:r>
        <w:rPr>
          <w:sz w:val="22"/>
        </w:rPr>
        <w:t>d'identifier ses ressources et ses difficultés par rapport aux exigences méthodologiques de la profession.</w:t>
      </w:r>
    </w:p>
    <w:p>
      <w:pPr>
        <w:ind w:left="360"/>
        <w:rPr>
          <w:sz w:val="22"/>
        </w:rPr>
      </w:pPr>
    </w:p>
    <w:p>
      <w:pPr>
        <w:ind w:left="360"/>
        <w:rPr>
          <w:sz w:val="22"/>
        </w:rPr>
      </w:pPr>
    </w:p>
    <w:p>
      <w:pPr>
        <w:ind w:left="284"/>
        <w:rPr>
          <w:b/>
          <w:sz w:val="22"/>
        </w:rPr>
      </w:pPr>
      <w:r>
        <w:rPr>
          <w:b/>
          <w:sz w:val="22"/>
        </w:rPr>
        <w:lastRenderedPageBreak/>
        <w:t>4.3. Déontologie professionnelle</w:t>
      </w:r>
    </w:p>
    <w:p>
      <w:pPr>
        <w:rPr>
          <w:b/>
          <w:sz w:val="22"/>
        </w:rPr>
      </w:pPr>
    </w:p>
    <w:p>
      <w:pPr>
        <w:pStyle w:val="Paragraphedeliste"/>
        <w:numPr>
          <w:ilvl w:val="0"/>
          <w:numId w:val="8"/>
        </w:numPr>
        <w:spacing w:before="120"/>
        <w:ind w:left="1066" w:hanging="357"/>
        <w:rPr>
          <w:sz w:val="22"/>
        </w:rPr>
      </w:pPr>
      <w:r>
        <w:rPr>
          <w:sz w:val="22"/>
        </w:rPr>
        <w:t>de définir les règles déontologiques et les cadres réglementaires s’y rattachant ;</w:t>
      </w:r>
    </w:p>
    <w:p>
      <w:pPr>
        <w:pStyle w:val="Paragraphedeliste"/>
        <w:numPr>
          <w:ilvl w:val="0"/>
          <w:numId w:val="8"/>
        </w:numPr>
        <w:spacing w:before="120"/>
        <w:ind w:left="1066" w:hanging="357"/>
        <w:rPr>
          <w:sz w:val="22"/>
        </w:rPr>
      </w:pPr>
      <w:r>
        <w:rPr>
          <w:sz w:val="22"/>
        </w:rPr>
        <w:t>de situer les règles déontologiques, les règlementations dans un ensemble de valeurs et de références communes au champ social ;</w:t>
      </w:r>
    </w:p>
    <w:p>
      <w:pPr>
        <w:pStyle w:val="Paragraphedeliste"/>
        <w:numPr>
          <w:ilvl w:val="0"/>
          <w:numId w:val="8"/>
        </w:numPr>
        <w:spacing w:before="120"/>
        <w:ind w:left="1066" w:hanging="357"/>
        <w:rPr>
          <w:sz w:val="22"/>
        </w:rPr>
      </w:pPr>
      <w:r>
        <w:rPr>
          <w:sz w:val="22"/>
        </w:rPr>
        <w:t>de s'initier aux questions éthiques qui traversent le champ social.</w:t>
      </w:r>
    </w:p>
    <w:p>
      <w:pPr>
        <w:ind w:left="360"/>
        <w:rPr>
          <w:sz w:val="22"/>
        </w:rPr>
      </w:pPr>
    </w:p>
    <w:p>
      <w:pPr>
        <w:ind w:left="360"/>
        <w:rPr>
          <w:sz w:val="22"/>
        </w:rPr>
      </w:pPr>
    </w:p>
    <w:p>
      <w:pPr>
        <w:ind w:left="284"/>
        <w:rPr>
          <w:b/>
          <w:sz w:val="22"/>
        </w:rPr>
      </w:pPr>
      <w:r>
        <w:rPr>
          <w:b/>
          <w:sz w:val="22"/>
        </w:rPr>
        <w:t>4.4. Communication écrite professionnelle</w:t>
      </w:r>
    </w:p>
    <w:p>
      <w:pPr>
        <w:rPr>
          <w:b/>
          <w:sz w:val="22"/>
        </w:rPr>
      </w:pPr>
    </w:p>
    <w:p>
      <w:pPr>
        <w:pStyle w:val="Paragraphedeliste"/>
        <w:numPr>
          <w:ilvl w:val="0"/>
          <w:numId w:val="8"/>
        </w:numPr>
        <w:spacing w:before="120"/>
        <w:ind w:left="1066" w:hanging="357"/>
        <w:jc w:val="both"/>
        <w:rPr>
          <w:sz w:val="22"/>
        </w:rPr>
      </w:pPr>
      <w:r>
        <w:rPr>
          <w:sz w:val="22"/>
        </w:rPr>
        <w:t>de rédiger des écrits professionnels corrects d’un point de vue formel (par exemple : enquête sociale, anamnèse, rapports, courriers, notes internes …), en prenant en compte les caractéristiques propres à ces types d’écrits, en veillant au respect de la personne ainsi qu’à la destination de ces écrits ;</w:t>
      </w:r>
    </w:p>
    <w:p>
      <w:pPr>
        <w:pStyle w:val="Paragraphedeliste"/>
        <w:numPr>
          <w:ilvl w:val="0"/>
          <w:numId w:val="8"/>
        </w:numPr>
        <w:spacing w:before="120"/>
        <w:ind w:left="1066" w:hanging="357"/>
        <w:jc w:val="both"/>
        <w:rPr>
          <w:sz w:val="22"/>
        </w:rPr>
      </w:pPr>
      <w:r>
        <w:rPr>
          <w:sz w:val="22"/>
        </w:rPr>
        <w:t>de préciser les fonctions de l’écriture (stratégique, de trace, de visibilité, de distanciation, de médiation, de réflexivité, de positionnement pluridisciplinaire …).</w:t>
      </w:r>
    </w:p>
    <w:p>
      <w:pPr>
        <w:spacing w:before="240"/>
        <w:rPr>
          <w:sz w:val="22"/>
        </w:rPr>
      </w:pPr>
    </w:p>
    <w:p>
      <w:pPr>
        <w:jc w:val="both"/>
      </w:pPr>
    </w:p>
    <w:p>
      <w:pPr>
        <w:numPr>
          <w:ilvl w:val="0"/>
          <w:numId w:val="3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tabs>
          <w:tab w:val="left" w:pos="708"/>
        </w:tabs>
        <w:ind w:left="68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Aucune recommandation particulière.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</w:p>
    <w:p>
      <w:pPr>
        <w:ind w:left="284"/>
        <w:jc w:val="both"/>
      </w:pPr>
    </w:p>
    <w:p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ind w:left="283" w:hanging="283"/>
        <w:jc w:val="both"/>
        <w:rPr>
          <w:b/>
          <w:sz w:val="22"/>
        </w:rPr>
      </w:pPr>
    </w:p>
    <w:p>
      <w:pPr>
        <w:ind w:left="708" w:hanging="708"/>
        <w:rPr>
          <w:sz w:val="22"/>
        </w:rPr>
      </w:pPr>
      <w:bookmarkStart w:id="4" w:name="CAT"/>
      <w:bookmarkEnd w:id="4"/>
    </w:p>
    <w:tbl>
      <w:tblPr>
        <w:tblW w:w="8970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822"/>
        <w:gridCol w:w="1261"/>
        <w:gridCol w:w="1441"/>
        <w:gridCol w:w="1446"/>
      </w:tblGrid>
      <w:tr>
        <w:trPr>
          <w:trHeight w:val="865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3.1. Dénomination des cours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>
            <w:pPr>
              <w:pStyle w:val="Titre3"/>
              <w:jc w:val="center"/>
              <w:rPr>
                <w:rFonts w:ascii="Times New Roman" w:hAnsi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ind w:left="708"/>
              <w:rPr>
                <w:sz w:val="22"/>
                <w:szCs w:val="22"/>
              </w:rPr>
            </w:pPr>
            <w:bookmarkStart w:id="5" w:name="VOL"/>
            <w:bookmarkEnd w:id="5"/>
            <w:r>
              <w:rPr>
                <w:sz w:val="22"/>
                <w:szCs w:val="22"/>
              </w:rPr>
              <w:t>Principes généraux du travail social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Approche méthodologique de l’intervention sociale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Déontologie professionnelle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 écrite professionnelle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3.2. Part d’autonomie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c>
          <w:tcPr>
            <w:tcW w:w="4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26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</w:tbl>
    <w:p>
      <w:pPr>
        <w:rPr>
          <w:b/>
          <w:sz w:val="22"/>
        </w:rPr>
      </w:pPr>
    </w:p>
    <w:p>
      <w:pPr>
        <w:jc w:val="both"/>
      </w:pPr>
    </w:p>
    <w:p>
      <w:pPr>
        <w:jc w:val="both"/>
      </w:pPr>
    </w:p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  <w:szCs w:val="16"/>
      </w:rPr>
    </w:pPr>
    <w:r>
      <w:rPr>
        <w:sz w:val="16"/>
        <w:szCs w:val="16"/>
      </w:rPr>
      <w:t xml:space="preserve">Bac AS : Méthodologie du service social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1</w:t>
    </w:r>
    <w:r>
      <w:rPr>
        <w:rStyle w:val="Numrodepage"/>
        <w:sz w:val="16"/>
        <w:szCs w:val="16"/>
      </w:rPr>
      <w:fldChar w:fldCharType="end"/>
    </w:r>
    <w:r>
      <w:rPr>
        <w:rStyle w:val="Numrodepage"/>
        <w:sz w:val="16"/>
        <w:szCs w:val="16"/>
      </w:rPr>
      <w:t xml:space="preserve"> / 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NUMPAGES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4</w:t>
    </w:r>
    <w:r>
      <w:rPr>
        <w:rStyle w:val="Numrodepage"/>
        <w:sz w:val="16"/>
        <w:szCs w:val="16"/>
      </w:rPr>
      <w:fldChar w:fldCharType="end"/>
    </w:r>
  </w:p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  <w:sz w:val="14"/>
      </w:rPr>
    </w:lvl>
  </w:abstractNum>
  <w:abstractNum w:abstractNumId="2" w15:restartNumberingAfterBreak="0">
    <w:nsid w:val="029C4631"/>
    <w:multiLevelType w:val="hybridMultilevel"/>
    <w:tmpl w:val="064609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97AD1"/>
    <w:multiLevelType w:val="hybridMultilevel"/>
    <w:tmpl w:val="365260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E4924"/>
    <w:multiLevelType w:val="hybridMultilevel"/>
    <w:tmpl w:val="60D072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639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50F6224"/>
    <w:multiLevelType w:val="hybridMultilevel"/>
    <w:tmpl w:val="9202E3E4"/>
    <w:lvl w:ilvl="0" w:tplc="FFFFFFFF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2E57E42"/>
    <w:multiLevelType w:val="hybridMultilevel"/>
    <w:tmpl w:val="B16E67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F4EE4"/>
    <w:multiLevelType w:val="hybridMultilevel"/>
    <w:tmpl w:val="25C07B14"/>
    <w:lvl w:ilvl="0" w:tplc="FFFFFFFF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4F86DE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587371FF"/>
    <w:multiLevelType w:val="hybridMultilevel"/>
    <w:tmpl w:val="B84E3EC8"/>
    <w:lvl w:ilvl="0" w:tplc="B7E8F10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E96904B4-3012-456B-BDF5-A24FBE6F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contextualSpacing w:val="0"/>
      <w:outlineLvl w:val="2"/>
    </w:pPr>
    <w:rPr>
      <w:rFonts w:ascii="Arial" w:eastAsia="MS Mincho" w:hAnsi="Arial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Pr>
      <w:rFonts w:ascii="Calibri" w:eastAsia="Times New Roman" w:hAnsi="Calibri" w:cs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rPr>
      <w:rFonts w:ascii="Times New Roman" w:eastAsia="Calibri" w:hAnsi="Times New Roman" w:cs="Times New Roman"/>
      <w:b/>
      <w:bCs/>
      <w:sz w:val="20"/>
      <w:szCs w:val="20"/>
      <w:lang w:val="fr-FR" w:eastAsia="ar-SA"/>
    </w:rPr>
  </w:style>
  <w:style w:type="character" w:customStyle="1" w:styleId="Titre3Car">
    <w:name w:val="Titre 3 Car"/>
    <w:link w:val="Titre3"/>
    <w:uiPriority w:val="99"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styleId="NormalWeb">
    <w:name w:val="Normal (Web)"/>
    <w:basedOn w:val="Normal"/>
    <w:uiPriority w:val="99"/>
    <w:semiHidden/>
    <w:unhideWhenUsed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2"/>
      </w:numPr>
      <w:spacing w:line="240" w:lineRule="atLeast"/>
    </w:pPr>
    <w:rPr>
      <w:rFonts w:eastAsia="Calibri"/>
      <w:sz w:val="22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fr-FR"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rPr>
      <w:rFonts w:ascii="Times New Roman" w:hAnsi="Times New Roman"/>
      <w:lang w:val="fr-FR" w:eastAsia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rPr>
      <w:rFonts w:ascii="Times New Roman" w:hAnsi="Times New Roman"/>
      <w:lang w:val="fr-FR" w:eastAsia="ar-SA"/>
    </w:rPr>
  </w:style>
  <w:style w:type="character" w:styleId="Numrodepage">
    <w:name w:val="page number"/>
    <w:uiPriority w:val="99"/>
    <w:rPr>
      <w:rFonts w:cs="Times New Roman"/>
    </w:rPr>
  </w:style>
  <w:style w:type="paragraph" w:customStyle="1" w:styleId="Paragraphedeliste1">
    <w:name w:val="Paragraphe de liste1"/>
    <w:basedOn w:val="Normal"/>
    <w:pPr>
      <w:ind w:left="720"/>
    </w:pPr>
    <w:rPr>
      <w:rFonts w:eastAsia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eastAsia="Times New Roman" w:hAnsi="Tahoma" w:cs="Tahoma"/>
      <w:sz w:val="16"/>
      <w:szCs w:val="16"/>
      <w:lang w:val="fr-FR" w:eastAsia="ar-SA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link w:val="Commentaire"/>
    <w:uiPriority w:val="99"/>
    <w:semiHidden/>
    <w:rPr>
      <w:rFonts w:ascii="Times New Roman" w:eastAsia="Times New Roman" w:hAnsi="Times New Roman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ascii="Times New Roman" w:eastAsia="Times New Roman" w:hAnsi="Times New Roman"/>
      <w:b/>
      <w:bCs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857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EquipeAS</dc:creator>
  <cp:lastModifiedBy>goulet02</cp:lastModifiedBy>
  <cp:revision>12</cp:revision>
  <cp:lastPrinted>2016-11-24T14:01:00Z</cp:lastPrinted>
  <dcterms:created xsi:type="dcterms:W3CDTF">2015-08-17T12:44:00Z</dcterms:created>
  <dcterms:modified xsi:type="dcterms:W3CDTF">2016-12-07T14:23:00Z</dcterms:modified>
</cp:coreProperties>
</file>