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</w:pPr>
    </w:p>
    <w:p>
      <w:pPr>
        <w:pStyle w:val="Titre2"/>
        <w:rPr>
          <w:caps/>
          <w:sz w:val="22"/>
        </w:rPr>
      </w:pPr>
      <w:r>
        <w:rPr>
          <w:sz w:val="22"/>
        </w:rPr>
        <w:t>UNITE D'ENSEIGNEMENT</w:t>
      </w: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 xml:space="preserve">BACHELIER ASSISTANT SOCIAL : </w:t>
      </w:r>
    </w:p>
    <w:p>
      <w:pPr>
        <w:pStyle w:val="Titre2"/>
        <w:rPr>
          <w:caps/>
          <w:sz w:val="28"/>
          <w:szCs w:val="28"/>
        </w:rPr>
      </w:pPr>
      <w:r>
        <w:rPr>
          <w:bCs w:val="0"/>
          <w:sz w:val="32"/>
          <w:szCs w:val="32"/>
        </w:rPr>
        <w:t>ECONOMIE APPLIQUEE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06U35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fr-FR"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 w:code="9"/>
          <w:pgMar w:top="1418" w:right="992" w:bottom="1293" w:left="1418" w:header="720" w:footer="720" w:gutter="0"/>
          <w:cols w:space="720"/>
          <w:titlePg/>
          <w:docGrid w:linePitch="360"/>
        </w:sectPr>
      </w:pPr>
    </w:p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10 octobre 2016,</w:t>
      </w:r>
    </w:p>
    <w:p>
      <w:pPr>
        <w:jc w:val="center"/>
        <w:rPr>
          <w:lang w:val="fr-BE"/>
        </w:rPr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BACHELIER ASSISTANT SOCIAL : ECONOMIE APPLIQUEE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DE FORMATION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de formation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3" w:name="FIP"/>
      <w:bookmarkEnd w:id="3"/>
      <w:r>
        <w:rPr>
          <w:sz w:val="22"/>
        </w:rPr>
        <w:t>L'unité d'enseignement  vise à permettre à l'étudiant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s'approprier des connaissances générales dans le domaine de l’économie et plus particulièrement dans celui de l’économie sociale ;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développer son sens critique vis-à-vis du fonctionnement de l'économie ;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s'initier à l'application de ces connaissances dans le champ professionnel de l'assistant social.</w:t>
      </w:r>
    </w:p>
    <w:p>
      <w:pPr>
        <w:suppressAutoHyphens w:val="0"/>
        <w:spacing w:after="120"/>
        <w:ind w:left="1211"/>
        <w:jc w:val="both"/>
        <w:rPr>
          <w:sz w:val="22"/>
        </w:rPr>
      </w:pPr>
    </w:p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792"/>
        <w:rPr>
          <w:b/>
          <w:sz w:val="22"/>
        </w:rPr>
      </w:pP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résumer les idées essentielles d’un texte d’intérêt général et les critiquer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produire un message structuré qui exprime un avis, une prise de position devant un fait, un événement, … (des documents d’information pouvant être mis à disposition).</w:t>
      </w:r>
    </w:p>
    <w:p>
      <w:pPr>
        <w:tabs>
          <w:tab w:val="num" w:pos="1134"/>
        </w:tabs>
        <w:suppressAutoHyphens w:val="0"/>
        <w:ind w:left="1134"/>
        <w:jc w:val="both"/>
        <w:rPr>
          <w:sz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pStyle w:val="normal01"/>
        <w:numPr>
          <w:ilvl w:val="0"/>
          <w:numId w:val="0"/>
        </w:numPr>
        <w:tabs>
          <w:tab w:val="left" w:pos="1068"/>
        </w:tabs>
        <w:ind w:left="900"/>
        <w:rPr>
          <w:szCs w:val="22"/>
        </w:rPr>
      </w:pPr>
      <w:r>
        <w:rPr>
          <w:szCs w:val="22"/>
        </w:rPr>
        <w:t xml:space="preserve">Certificat d'enseignement secondaire supérieur - C.E.S.S. 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  <w:u w:val="single"/>
        </w:rPr>
        <w:br w:type="page"/>
      </w:r>
      <w:r>
        <w:rPr>
          <w:b/>
          <w:sz w:val="22"/>
        </w:rPr>
        <w:lastRenderedPageBreak/>
        <w:t xml:space="preserve">ACQUIS D'APPRENTISSAGE </w:t>
      </w:r>
    </w:p>
    <w:p>
      <w:pPr>
        <w:rPr>
          <w:b/>
          <w:sz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atteindre le seuil de réussite</w:t>
      </w:r>
      <w:r>
        <w:rPr>
          <w:sz w:val="22"/>
          <w:szCs w:val="22"/>
        </w:rPr>
        <w:t>, l’étudiant sera capable,</w:t>
      </w:r>
    </w:p>
    <w:p>
      <w:pPr>
        <w:jc w:val="both"/>
      </w:pPr>
    </w:p>
    <w:p>
      <w:pPr>
        <w:ind w:left="360"/>
        <w:jc w:val="both"/>
        <w:rPr>
          <w:i/>
        </w:rPr>
      </w:pPr>
      <w:r>
        <w:rPr>
          <w:i/>
        </w:rPr>
        <w:t>à partir de documents se rapportant à l’économie appliquée et s’inscrivant dans le champ d’action de l’assistant social,</w:t>
      </w:r>
    </w:p>
    <w:p>
      <w:pPr>
        <w:ind w:left="360"/>
        <w:jc w:val="both"/>
        <w:rPr>
          <w:i/>
        </w:rPr>
      </w:pPr>
      <w:r>
        <w:rPr>
          <w:i/>
        </w:rPr>
        <w:t>en respectant les usages de la langue française et du vocabulaire professionnel,</w:t>
      </w:r>
    </w:p>
    <w:p>
      <w:pPr>
        <w:ind w:left="851"/>
        <w:jc w:val="both"/>
        <w:rPr>
          <w:i/>
        </w:rPr>
      </w:pP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d’identifier et d’expliquer les mécanismes économiques en présence 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préciser les implications dans le domaine social et sur le travail de l’assistant social ;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d’interpréter succinctement les éléments d’un bilan, comptes de résultats ou budget.</w:t>
      </w:r>
    </w:p>
    <w:p>
      <w:pPr>
        <w:widowControl w:val="0"/>
        <w:tabs>
          <w:tab w:val="left" w:pos="720"/>
        </w:tabs>
        <w:spacing w:after="120" w:line="220" w:lineRule="exact"/>
        <w:ind w:left="426"/>
        <w:jc w:val="both"/>
        <w:rPr>
          <w:sz w:val="22"/>
        </w:rPr>
      </w:pPr>
    </w:p>
    <w:p>
      <w:pPr>
        <w:ind w:left="284"/>
        <w:jc w:val="both"/>
        <w:rPr>
          <w:b/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sz w:val="22"/>
        </w:rPr>
      </w:pP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 xml:space="preserve">le niveau de précision des concepts mobilisés, 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le degré d'exhaustivité des éléments relevés,</w:t>
      </w:r>
    </w:p>
    <w:p>
      <w:pPr>
        <w:widowControl w:val="0"/>
        <w:numPr>
          <w:ilvl w:val="0"/>
          <w:numId w:val="5"/>
        </w:numPr>
        <w:tabs>
          <w:tab w:val="left" w:pos="720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la qualité de l’argumentation.</w:t>
      </w:r>
    </w:p>
    <w:p>
      <w:pPr>
        <w:widowControl w:val="0"/>
        <w:tabs>
          <w:tab w:val="left" w:pos="720"/>
        </w:tabs>
        <w:spacing w:after="120" w:line="220" w:lineRule="exact"/>
        <w:ind w:left="426"/>
        <w:jc w:val="both"/>
        <w:rPr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rPr>
          <w:sz w:val="22"/>
        </w:rPr>
      </w:pPr>
      <w:r>
        <w:rPr>
          <w:sz w:val="22"/>
        </w:rPr>
        <w:t>L'étudiant sera capable :</w:t>
      </w: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rPr>
          <w:sz w:val="22"/>
        </w:rPr>
      </w:pPr>
    </w:p>
    <w:p>
      <w:pPr>
        <w:rPr>
          <w:lang w:eastAsia="fr-BE"/>
        </w:rPr>
      </w:pPr>
    </w:p>
    <w:p>
      <w:pPr>
        <w:rPr>
          <w:i/>
          <w:sz w:val="22"/>
          <w:szCs w:val="22"/>
          <w:lang w:val="fr-BE" w:eastAsia="fr-BE"/>
        </w:rPr>
      </w:pPr>
      <w:r>
        <w:rPr>
          <w:i/>
          <w:sz w:val="22"/>
          <w:szCs w:val="22"/>
          <w:lang w:val="fr-BE" w:eastAsia="fr-BE"/>
        </w:rPr>
        <w:t>en vue de développer ses connaissances générales en économie appliquée et les modalités de mise en pratique dans la sphère professionnelle, en disposant de la documentation ad hoc,</w:t>
      </w:r>
    </w:p>
    <w:p>
      <w:pPr>
        <w:widowControl w:val="0"/>
        <w:tabs>
          <w:tab w:val="left" w:pos="3600"/>
          <w:tab w:val="left" w:pos="5760"/>
          <w:tab w:val="left" w:pos="7056"/>
          <w:tab w:val="left" w:pos="7488"/>
        </w:tabs>
        <w:spacing w:line="100" w:lineRule="atLeast"/>
        <w:ind w:left="426"/>
        <w:jc w:val="both"/>
        <w:rPr>
          <w:i/>
          <w:sz w:val="22"/>
          <w:lang w:val="fr-BE"/>
        </w:rPr>
      </w:pPr>
    </w:p>
    <w:p>
      <w:pPr>
        <w:widowControl w:val="0"/>
        <w:tabs>
          <w:tab w:val="left" w:pos="709"/>
        </w:tabs>
        <w:spacing w:after="120" w:line="220" w:lineRule="exact"/>
        <w:jc w:val="both"/>
        <w:rPr>
          <w:b/>
          <w:sz w:val="22"/>
        </w:rPr>
      </w:pPr>
      <w:r>
        <w:rPr>
          <w:b/>
          <w:sz w:val="22"/>
        </w:rPr>
        <w:t>Economie politique et sociale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de connaître les notions clés spécifiques aux sciences économiques et les utiliser dans un contexte approprié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d’identifier les acteurs de la scène économique et comprendre les relations qui existent entre eux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  <w:szCs w:val="22"/>
        </w:rPr>
      </w:pPr>
      <w:r>
        <w:rPr>
          <w:sz w:val="22"/>
          <w:szCs w:val="22"/>
        </w:rPr>
        <w:t>d’identifier les grands agrégats économiques, le revenu, l'investissement, la consommation, le taux de chômage, l'inflation, … et leur principaux déterminants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d’analyser de manière critique les grands systèmes économiques et les logiques en présence notamment :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588"/>
          <w:tab w:val="left" w:pos="709"/>
        </w:tabs>
        <w:spacing w:after="120" w:line="220" w:lineRule="exact"/>
        <w:ind w:left="1308" w:hanging="294"/>
        <w:jc w:val="both"/>
        <w:rPr>
          <w:sz w:val="22"/>
          <w:szCs w:val="22"/>
        </w:rPr>
      </w:pPr>
      <w:r>
        <w:rPr>
          <w:sz w:val="22"/>
          <w:szCs w:val="22"/>
        </w:rPr>
        <w:t>les acteurs de la scène économique,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588"/>
          <w:tab w:val="left" w:pos="709"/>
        </w:tabs>
        <w:spacing w:after="120" w:line="220" w:lineRule="exact"/>
        <w:ind w:left="1308" w:hanging="294"/>
        <w:jc w:val="both"/>
        <w:rPr>
          <w:sz w:val="22"/>
        </w:rPr>
      </w:pPr>
      <w:r>
        <w:rPr>
          <w:sz w:val="22"/>
        </w:rPr>
        <w:t>les flux et circuits économiques actuels des biens et services,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282"/>
          <w:tab w:val="left" w:pos="709"/>
        </w:tabs>
        <w:spacing w:after="120" w:line="220" w:lineRule="exact"/>
        <w:ind w:left="1308" w:hanging="294"/>
        <w:jc w:val="both"/>
        <w:rPr>
          <w:sz w:val="22"/>
        </w:rPr>
      </w:pPr>
      <w:r>
        <w:rPr>
          <w:sz w:val="22"/>
        </w:rPr>
        <w:t>la valorisation des échanges de biens et services,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564"/>
          <w:tab w:val="left" w:pos="709"/>
        </w:tabs>
        <w:spacing w:after="120" w:line="220" w:lineRule="exact"/>
        <w:ind w:left="1308" w:hanging="294"/>
        <w:jc w:val="both"/>
        <w:rPr>
          <w:sz w:val="22"/>
        </w:rPr>
      </w:pPr>
      <w:r>
        <w:rPr>
          <w:sz w:val="22"/>
        </w:rPr>
        <w:t>les politiques économiques et sociales, les institutions, les ressources et les modalités d'intervention des pouvoirs locaux, régionaux, nationaux et internationaux ;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282"/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d’expliciter le concept d’économie sociale et de le distinguer des notions proches (non profit, non marchand …)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</w:rPr>
      </w:pPr>
      <w:r>
        <w:rPr>
          <w:sz w:val="22"/>
        </w:rPr>
        <w:t>de distinguer les organisations (sociétés, associations, fondation, mutualité, …) sur base de différents critères (finalité sociale, démocratie économique, distribution du profit …) ;</w:t>
      </w:r>
    </w:p>
    <w:p>
      <w:pPr>
        <w:widowControl w:val="0"/>
        <w:numPr>
          <w:ilvl w:val="0"/>
          <w:numId w:val="5"/>
        </w:numPr>
        <w:tabs>
          <w:tab w:val="left" w:pos="709"/>
        </w:tabs>
        <w:spacing w:after="120" w:line="220" w:lineRule="exact"/>
        <w:ind w:left="720" w:hanging="294"/>
        <w:jc w:val="both"/>
        <w:rPr>
          <w:sz w:val="22"/>
          <w:szCs w:val="22"/>
        </w:rPr>
      </w:pPr>
      <w:r>
        <w:rPr>
          <w:sz w:val="22"/>
        </w:rPr>
        <w:t xml:space="preserve">de relever les implications de la dimension économique dans la compréhension des faits </w:t>
      </w:r>
      <w:r>
        <w:rPr>
          <w:sz w:val="22"/>
          <w:szCs w:val="22"/>
        </w:rPr>
        <w:t>sociaux ;</w:t>
      </w:r>
    </w:p>
    <w:p>
      <w:pPr>
        <w:widowControl w:val="0"/>
        <w:numPr>
          <w:ilvl w:val="0"/>
          <w:numId w:val="5"/>
        </w:numPr>
        <w:tabs>
          <w:tab w:val="clear" w:pos="0"/>
          <w:tab w:val="num" w:pos="-155"/>
          <w:tab w:val="left" w:pos="709"/>
        </w:tabs>
        <w:spacing w:after="120" w:line="220" w:lineRule="exact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d’analyser différentes politiques publiques sociales sous l’angle économique (insertion, services sociaux, coopération au développement …) ;</w:t>
      </w:r>
    </w:p>
    <w:p>
      <w:pPr>
        <w:widowControl w:val="0"/>
        <w:tabs>
          <w:tab w:val="left" w:pos="709"/>
        </w:tabs>
        <w:spacing w:after="120" w:line="220" w:lineRule="exact"/>
        <w:ind w:left="709"/>
        <w:jc w:val="both"/>
        <w:rPr>
          <w:sz w:val="22"/>
          <w:szCs w:val="22"/>
        </w:rPr>
      </w:pPr>
    </w:p>
    <w:p>
      <w:pPr>
        <w:rPr>
          <w:sz w:val="22"/>
        </w:rPr>
      </w:pPr>
    </w:p>
    <w:p>
      <w:pPr>
        <w:widowControl w:val="0"/>
        <w:tabs>
          <w:tab w:val="left" w:pos="709"/>
        </w:tabs>
        <w:spacing w:after="120" w:line="220" w:lineRule="exact"/>
        <w:jc w:val="both"/>
        <w:rPr>
          <w:b/>
          <w:sz w:val="22"/>
        </w:rPr>
      </w:pPr>
      <w:r>
        <w:rPr>
          <w:b/>
          <w:sz w:val="22"/>
        </w:rPr>
        <w:t>Actualité économique : séminaire </w:t>
      </w:r>
    </w:p>
    <w:p>
      <w:pPr>
        <w:pStyle w:val="Paragraphedeliste"/>
        <w:numPr>
          <w:ilvl w:val="0"/>
          <w:numId w:val="5"/>
        </w:numPr>
        <w:tabs>
          <w:tab w:val="clear" w:pos="0"/>
          <w:tab w:val="num" w:pos="-316"/>
          <w:tab w:val="num" w:pos="1080"/>
        </w:tabs>
        <w:spacing w:after="120"/>
        <w:ind w:left="783" w:hanging="357"/>
        <w:jc w:val="both"/>
        <w:rPr>
          <w:sz w:val="22"/>
        </w:rPr>
      </w:pPr>
      <w:r>
        <w:rPr>
          <w:sz w:val="22"/>
        </w:rPr>
        <w:t>d’appréhender des faits issus de l’actualité économique ;</w:t>
      </w:r>
    </w:p>
    <w:p>
      <w:pPr>
        <w:pStyle w:val="Paragraphedeliste"/>
        <w:numPr>
          <w:ilvl w:val="0"/>
          <w:numId w:val="5"/>
        </w:numPr>
        <w:tabs>
          <w:tab w:val="clear" w:pos="0"/>
          <w:tab w:val="num" w:pos="-316"/>
          <w:tab w:val="num" w:pos="1080"/>
        </w:tabs>
        <w:spacing w:after="120"/>
        <w:ind w:left="783" w:hanging="357"/>
        <w:jc w:val="both"/>
        <w:rPr>
          <w:sz w:val="22"/>
        </w:rPr>
      </w:pPr>
      <w:r>
        <w:rPr>
          <w:sz w:val="22"/>
        </w:rPr>
        <w:t xml:space="preserve">d’analyser l’impact de l’actualité économique </w:t>
      </w:r>
      <w:r>
        <w:rPr>
          <w:sz w:val="22"/>
          <w:szCs w:val="22"/>
        </w:rPr>
        <w:t xml:space="preserve">dans </w:t>
      </w:r>
      <w:r>
        <w:rPr>
          <w:sz w:val="22"/>
        </w:rPr>
        <w:t>différents champs de l'action sociale</w:t>
      </w:r>
      <w:r>
        <w:rPr>
          <w:sz w:val="22"/>
          <w:szCs w:val="22"/>
        </w:rPr>
        <w:t> </w:t>
      </w:r>
      <w:r>
        <w:rPr>
          <w:sz w:val="22"/>
        </w:rPr>
        <w:t>;</w:t>
      </w:r>
    </w:p>
    <w:p>
      <w:pPr>
        <w:spacing w:before="120"/>
        <w:ind w:firstLine="425"/>
        <w:jc w:val="both"/>
        <w:rPr>
          <w:sz w:val="22"/>
        </w:rPr>
      </w:pPr>
    </w:p>
    <w:p>
      <w:pPr>
        <w:spacing w:before="120"/>
        <w:ind w:firstLine="425"/>
        <w:jc w:val="both"/>
        <w:rPr>
          <w:sz w:val="22"/>
        </w:rPr>
      </w:pPr>
    </w:p>
    <w:p>
      <w:pPr>
        <w:spacing w:before="120"/>
        <w:ind w:firstLine="425"/>
        <w:jc w:val="both"/>
        <w:rPr>
          <w:sz w:val="22"/>
        </w:rPr>
      </w:pPr>
    </w:p>
    <w:p>
      <w:pPr>
        <w:widowControl w:val="0"/>
        <w:tabs>
          <w:tab w:val="left" w:pos="709"/>
        </w:tabs>
        <w:spacing w:after="120" w:line="220" w:lineRule="exact"/>
        <w:jc w:val="both"/>
        <w:rPr>
          <w:b/>
          <w:sz w:val="22"/>
        </w:rPr>
      </w:pPr>
      <w:r>
        <w:rPr>
          <w:b/>
          <w:sz w:val="22"/>
        </w:rPr>
        <w:t>Eléments de comptabilité et de budget</w:t>
      </w:r>
    </w:p>
    <w:p>
      <w:pPr>
        <w:widowControl w:val="0"/>
        <w:tabs>
          <w:tab w:val="left" w:pos="709"/>
        </w:tabs>
        <w:spacing w:after="120" w:line="220" w:lineRule="exact"/>
        <w:jc w:val="both"/>
        <w:rPr>
          <w:i/>
          <w:sz w:val="22"/>
        </w:rPr>
      </w:pPr>
      <w:r>
        <w:rPr>
          <w:i/>
          <w:sz w:val="22"/>
        </w:rPr>
        <w:t>sur base de documents issus d’organisations du secteur non-marchand et dans le respect des limites du champ d’action de l’assistant social,</w:t>
      </w:r>
    </w:p>
    <w:p>
      <w:pPr>
        <w:numPr>
          <w:ilvl w:val="0"/>
          <w:numId w:val="18"/>
        </w:numPr>
        <w:tabs>
          <w:tab w:val="left" w:pos="851"/>
        </w:tabs>
        <w:suppressAutoHyphens w:val="0"/>
        <w:spacing w:before="120"/>
        <w:ind w:left="851" w:hanging="425"/>
        <w:rPr>
          <w:sz w:val="22"/>
        </w:rPr>
      </w:pPr>
      <w:r>
        <w:rPr>
          <w:sz w:val="22"/>
        </w:rPr>
        <w:t>de s’approprier et utiliser la terminologie comptable de base (actif, passif, charges, produits, masses bilantaires …);</w:t>
      </w:r>
    </w:p>
    <w:p>
      <w:pPr>
        <w:numPr>
          <w:ilvl w:val="0"/>
          <w:numId w:val="18"/>
        </w:numPr>
        <w:tabs>
          <w:tab w:val="left" w:pos="851"/>
        </w:tabs>
        <w:suppressAutoHyphens w:val="0"/>
        <w:spacing w:before="120"/>
        <w:ind w:left="851" w:hanging="425"/>
        <w:rPr>
          <w:sz w:val="22"/>
        </w:rPr>
      </w:pPr>
      <w:r>
        <w:rPr>
          <w:sz w:val="22"/>
        </w:rPr>
        <w:t xml:space="preserve">de dégager les principaux éléments significatifs d’un bilan et d’un compte de résultats ; </w:t>
      </w:r>
    </w:p>
    <w:p>
      <w:pPr>
        <w:numPr>
          <w:ilvl w:val="0"/>
          <w:numId w:val="18"/>
        </w:numPr>
        <w:tabs>
          <w:tab w:val="left" w:pos="851"/>
        </w:tabs>
        <w:suppressAutoHyphens w:val="0"/>
        <w:spacing w:before="120"/>
        <w:ind w:left="851" w:hanging="425"/>
        <w:rPr>
          <w:sz w:val="22"/>
        </w:rPr>
      </w:pPr>
      <w:r>
        <w:rPr>
          <w:sz w:val="22"/>
        </w:rPr>
        <w:t>d’identifier et d’évaluer les éléments d’un budget d’activité à partir des informations mises à disposition.</w:t>
      </w:r>
    </w:p>
    <w:p>
      <w:pPr>
        <w:numPr>
          <w:ilvl w:val="12"/>
          <w:numId w:val="0"/>
        </w:numPr>
        <w:rPr>
          <w:b/>
          <w:sz w:val="22"/>
        </w:rPr>
      </w:pPr>
    </w:p>
    <w:p>
      <w:pPr>
        <w:rPr>
          <w:b/>
          <w:sz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Aucune recommandation particulière.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708" w:hanging="708"/>
        <w:rPr>
          <w:sz w:val="22"/>
        </w:rPr>
      </w:pPr>
      <w:bookmarkStart w:id="4" w:name="CAT"/>
      <w:bookmarkEnd w:id="4"/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Economie politique et sociale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Actualité économique : séminaire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Eléments de comptabilité et de budget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bookmarkStart w:id="5" w:name="VOL"/>
            <w:bookmarkEnd w:id="5"/>
            <w:r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left="426" w:right="47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>
      <w:pPr>
        <w:jc w:val="both"/>
      </w:pPr>
    </w:p>
    <w:p>
      <w:pPr>
        <w:ind w:left="426"/>
        <w:jc w:val="both"/>
      </w:pPr>
    </w:p>
    <w:p/>
    <w:sectPr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right"/>
      <w:rPr>
        <w:sz w:val="16"/>
        <w:szCs w:val="16"/>
        <w:lang w:val="fr-BE"/>
      </w:rPr>
    </w:pPr>
    <w:r>
      <w:rPr>
        <w:sz w:val="16"/>
        <w:szCs w:val="16"/>
        <w:lang w:val="fr-BE"/>
      </w:rPr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1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 xml:space="preserve"> sur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</w:rPr>
    </w:pPr>
    <w:r>
      <w:rPr>
        <w:sz w:val="16"/>
        <w:szCs w:val="16"/>
      </w:rPr>
      <w:t>Bac AS : Economie appliquée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>/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4</w:t>
    </w:r>
    <w:r>
      <w:rPr>
        <w:rStyle w:val="Numrodepage"/>
        <w:sz w:val="16"/>
        <w:szCs w:val="16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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"/>
      <w:lvlJc w:val="left"/>
      <w:pPr>
        <w:tabs>
          <w:tab w:val="num" w:pos="0"/>
        </w:tabs>
      </w:pPr>
      <w:rPr>
        <w:rFonts w:ascii="Symbol" w:hAnsi="Symbol"/>
        <w:sz w:val="22"/>
      </w:rPr>
    </w:lvl>
  </w:abstractNum>
  <w:abstractNum w:abstractNumId="5" w15:restartNumberingAfterBreak="0">
    <w:nsid w:val="03C3033F"/>
    <w:multiLevelType w:val="hybridMultilevel"/>
    <w:tmpl w:val="81D68932"/>
    <w:lvl w:ilvl="0" w:tplc="6D7C933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76CAF"/>
    <w:multiLevelType w:val="hybridMultilevel"/>
    <w:tmpl w:val="6AC0E5E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A234A8E"/>
    <w:multiLevelType w:val="hybridMultilevel"/>
    <w:tmpl w:val="C1BAABDC"/>
    <w:lvl w:ilvl="0" w:tplc="428C8A0E">
      <w:start w:val="1"/>
      <w:numFmt w:val="decimal"/>
      <w:lvlText w:val="%1."/>
      <w:lvlJc w:val="left"/>
      <w:pPr>
        <w:ind w:left="360" w:hanging="360"/>
      </w:p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C6885"/>
    <w:multiLevelType w:val="hybridMultilevel"/>
    <w:tmpl w:val="E4C64358"/>
    <w:lvl w:ilvl="0" w:tplc="6D7C933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6F1848"/>
    <w:multiLevelType w:val="hybridMultilevel"/>
    <w:tmpl w:val="4E347068"/>
    <w:lvl w:ilvl="0" w:tplc="DB829182">
      <w:start w:val="1"/>
      <w:numFmt w:val="bullet"/>
      <w:lvlText w:val=""/>
      <w:lvlJc w:val="left"/>
      <w:pPr>
        <w:tabs>
          <w:tab w:val="num" w:pos="1050"/>
        </w:tabs>
        <w:ind w:left="1050" w:hanging="340"/>
      </w:pPr>
      <w:rPr>
        <w:rFonts w:ascii="Symbol" w:hAnsi="Symbol" w:hint="default"/>
        <w:sz w:val="20"/>
      </w:rPr>
    </w:lvl>
    <w:lvl w:ilvl="1" w:tplc="F9780B3E">
      <w:start w:val="1"/>
      <w:numFmt w:val="bullet"/>
      <w:lvlText w:val=""/>
      <w:lvlJc w:val="left"/>
      <w:pPr>
        <w:tabs>
          <w:tab w:val="num" w:pos="2150"/>
        </w:tabs>
        <w:ind w:left="2073" w:hanging="283"/>
      </w:pPr>
      <w:rPr>
        <w:rFonts w:ascii="Symbol" w:hAnsi="Symbol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A7D122A"/>
    <w:multiLevelType w:val="hybridMultilevel"/>
    <w:tmpl w:val="7A06B22E"/>
    <w:lvl w:ilvl="0" w:tplc="CBFAB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B0D29"/>
    <w:multiLevelType w:val="hybridMultilevel"/>
    <w:tmpl w:val="83B41724"/>
    <w:lvl w:ilvl="0" w:tplc="6D7C933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FB67216"/>
    <w:multiLevelType w:val="hybridMultilevel"/>
    <w:tmpl w:val="DE0E6C44"/>
    <w:lvl w:ilvl="0" w:tplc="34C253DC">
      <w:numFmt w:val="bullet"/>
      <w:lvlText w:val=""/>
      <w:lvlJc w:val="left"/>
      <w:pPr>
        <w:tabs>
          <w:tab w:val="num" w:pos="851"/>
        </w:tabs>
        <w:ind w:left="851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40B10FC0"/>
    <w:multiLevelType w:val="hybridMultilevel"/>
    <w:tmpl w:val="F202D1D4"/>
    <w:lvl w:ilvl="0" w:tplc="69B48404">
      <w:numFmt w:val="bullet"/>
      <w:lvlText w:val="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b/>
        <w:i w:val="0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94D87"/>
    <w:multiLevelType w:val="hybridMultilevel"/>
    <w:tmpl w:val="0016B138"/>
    <w:lvl w:ilvl="0" w:tplc="6D7C933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31B74"/>
    <w:multiLevelType w:val="hybridMultilevel"/>
    <w:tmpl w:val="C66227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731F"/>
    <w:multiLevelType w:val="hybridMultilevel"/>
    <w:tmpl w:val="57723B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C04C8"/>
    <w:multiLevelType w:val="hybridMultilevel"/>
    <w:tmpl w:val="57887138"/>
    <w:lvl w:ilvl="0" w:tplc="080C0001">
      <w:start w:val="1"/>
      <w:numFmt w:val="bullet"/>
      <w:lvlText w:val=""/>
      <w:lvlJc w:val="left"/>
      <w:pPr>
        <w:ind w:left="162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4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306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19"/>
  </w:num>
  <w:num w:numId="7">
    <w:abstractNumId w:val="10"/>
  </w:num>
  <w:num w:numId="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color w:val="auto"/>
          <w:sz w:val="18"/>
        </w:rPr>
      </w:lvl>
    </w:lvlOverride>
  </w:num>
  <w:num w:numId="9">
    <w:abstractNumId w:val="4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4"/>
  </w:num>
  <w:num w:numId="15">
    <w:abstractNumId w:val="18"/>
  </w:num>
  <w:num w:numId="16">
    <w:abstractNumId w:val="16"/>
  </w:num>
  <w:num w:numId="17">
    <w:abstractNumId w:val="12"/>
  </w:num>
  <w:num w:numId="1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9">
    <w:abstractNumId w:val="15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B420585-7876-40B9-8DDD-9E1919ED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" w:hAnsi="Calibri" w:cs="Times New Roman"/>
      <w:sz w:val="24"/>
      <w:szCs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cs="Times New Roman"/>
      <w:b/>
      <w:bCs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Policepardfaut"/>
  </w:style>
  <w:style w:type="character" w:customStyle="1" w:styleId="highlight">
    <w:name w:val="highlight"/>
    <w:basedOn w:val="Policepardfaut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rFonts w:ascii="Times New Roman" w:eastAsia="Times New Roman" w:hAnsi="Times New Roman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862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goulet02</cp:lastModifiedBy>
  <cp:revision>12</cp:revision>
  <cp:lastPrinted>2016-12-07T14:01:00Z</cp:lastPrinted>
  <dcterms:created xsi:type="dcterms:W3CDTF">2015-10-29T17:04:00Z</dcterms:created>
  <dcterms:modified xsi:type="dcterms:W3CDTF">2016-12-07T14:01:00Z</dcterms:modified>
</cp:coreProperties>
</file>