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DOSSIER PEDAGOGIQUE</w:t>
      </w:r>
    </w:p>
    <w:p>
      <w:pPr>
        <w:pStyle w:val="Titre1"/>
        <w:rPr>
          <w:rFonts w:ascii="Times New Roman" w:hAnsi="Times New Roman"/>
        </w:rPr>
      </w:pPr>
    </w:p>
    <w:p>
      <w:pPr>
        <w:pStyle w:val="Titre2"/>
        <w:rPr>
          <w:rFonts w:ascii="Times New Roman" w:hAnsi="Times New Roman"/>
          <w:caps/>
          <w:sz w:val="22"/>
        </w:rPr>
      </w:pPr>
      <w:r>
        <w:rPr>
          <w:rFonts w:ascii="Times New Roman" w:hAnsi="Times New Roman"/>
          <w:sz w:val="22"/>
        </w:rP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Cs w:val="0"/>
          <w:sz w:val="32"/>
          <w:szCs w:val="32"/>
        </w:rPr>
        <w:t>BACHELIER ASSISTANT SOCIAL : DROIT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Domaine : Sciences Politiques et sociales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99 20 07 U35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fr-FR" w:eastAsia="fr-FR"/>
              </w:rPr>
              <w:t>CODE DU DOMAINE DE FORMATION : 902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/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10 octobre 2016,</w:t>
      </w:r>
    </w:p>
    <w:p>
      <w:pPr>
        <w:jc w:val="center"/>
        <w:rPr>
          <w:lang w:val="fr-BE"/>
        </w:rPr>
      </w:pPr>
      <w:r>
        <w:rPr>
          <w:b/>
        </w:rPr>
        <w:t xml:space="preserve">sur avis conforme </w:t>
      </w:r>
      <w:r>
        <w:rPr>
          <w:b/>
          <w:sz w:val="22"/>
          <w:szCs w:val="22"/>
          <w:lang w:eastAsia="fr-FR"/>
        </w:rPr>
        <w:t>sur avis conforme 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BACHELIER ASSISTANT SOCIAL : DROIT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ind w:left="851"/>
        <w:jc w:val="both"/>
        <w:rPr>
          <w:sz w:val="22"/>
          <w:szCs w:val="22"/>
        </w:rPr>
      </w:pPr>
      <w:bookmarkStart w:id="3" w:name="FIP"/>
      <w:bookmarkEnd w:id="3"/>
      <w:r>
        <w:rPr>
          <w:sz w:val="22"/>
          <w:szCs w:val="22"/>
        </w:rPr>
        <w:t xml:space="preserve">Cette unité d'enseignement vise à permettre à l’étudiant, en utilisant le vocabulaire spécifique, d'appliquer des notions théoriques en droit civil, pénal, en droit de la sécurité sociale et du travail susceptibles d'intervenir dans le champ d'activité de l'assistant social. </w:t>
      </w:r>
    </w:p>
    <w:p>
      <w:pPr>
        <w:pStyle w:val="Paragraphedeliste"/>
        <w:ind w:left="0"/>
        <w:rPr>
          <w:sz w:val="22"/>
          <w:szCs w:val="22"/>
        </w:rPr>
      </w:pPr>
    </w:p>
    <w:p>
      <w:pPr>
        <w:pStyle w:val="Paragraphedeliste"/>
        <w:ind w:left="0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ind w:left="360"/>
        <w:rPr>
          <w:b/>
          <w:sz w:val="22"/>
        </w:rPr>
      </w:pPr>
    </w:p>
    <w:p>
      <w:pPr>
        <w:ind w:left="360"/>
        <w:jc w:val="both"/>
        <w:rPr>
          <w:i/>
        </w:rPr>
      </w:pPr>
      <w:r>
        <w:rPr>
          <w:i/>
        </w:rPr>
        <w:t>à partir d'un document relatif  au champ professionnel de l'assistant social,</w:t>
      </w:r>
    </w:p>
    <w:p>
      <w:pPr>
        <w:ind w:left="851"/>
        <w:jc w:val="both"/>
        <w:rPr>
          <w:i/>
        </w:rPr>
      </w:pP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préciser les institutions politiques ou  judiciaires identifiées 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déterminer le cadre légal et le champ de compétences des acteurs concernés 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établir un lien entre les notions juridiques relevées et le champ d'application professionnel.</w:t>
      </w:r>
    </w:p>
    <w:p>
      <w:pPr>
        <w:tabs>
          <w:tab w:val="num" w:pos="1134"/>
        </w:tabs>
        <w:suppressAutoHyphens w:val="0"/>
        <w:ind w:left="1134"/>
        <w:jc w:val="both"/>
        <w:rPr>
          <w:sz w:val="22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pStyle w:val="normal01"/>
        <w:numPr>
          <w:ilvl w:val="0"/>
          <w:numId w:val="0"/>
        </w:numPr>
        <w:tabs>
          <w:tab w:val="left" w:pos="1068"/>
        </w:tabs>
        <w:ind w:left="360"/>
        <w:jc w:val="both"/>
        <w:rPr>
          <w:szCs w:val="22"/>
        </w:rPr>
      </w:pPr>
      <w:r>
        <w:rPr>
          <w:szCs w:val="22"/>
        </w:rPr>
        <w:t>Attestation de réussite de l'UE "Bachelier en Assistant social : Introduction aux droit et institutions" code n° 9920 02 U35 D1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br w:type="page"/>
      </w: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ACQUIS D'APPRENTISSAGE </w:t>
      </w: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atteindre le seuil de réussite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l’étudiant sera capable,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rPr>
          <w:i/>
        </w:rPr>
      </w:pPr>
      <w:r>
        <w:rPr>
          <w:i/>
        </w:rPr>
        <w:t xml:space="preserve">à partir d’un problème juridique concernant le droit civil, le droit pénal, le droit du travail ou de la sécurité sociale, </w:t>
      </w:r>
    </w:p>
    <w:p>
      <w:pPr>
        <w:ind w:left="317"/>
        <w:rPr>
          <w:i/>
        </w:rPr>
      </w:pPr>
      <w:r>
        <w:rPr>
          <w:i/>
        </w:rPr>
        <w:t xml:space="preserve">en disposant de la documentation ad hoc, </w:t>
      </w:r>
    </w:p>
    <w:p>
      <w:pPr>
        <w:ind w:left="317"/>
        <w:rPr>
          <w:i/>
        </w:rPr>
      </w:pPr>
      <w:r>
        <w:rPr>
          <w:i/>
        </w:rPr>
        <w:t xml:space="preserve">en respectant les usages de la langue française et du vocabulaire professionnel, </w:t>
      </w:r>
    </w:p>
    <w:p>
      <w:pPr>
        <w:ind w:left="284"/>
      </w:pPr>
    </w:p>
    <w:p>
      <w:pPr>
        <w:widowControl w:val="0"/>
        <w:numPr>
          <w:ilvl w:val="0"/>
          <w:numId w:val="5"/>
        </w:numPr>
        <w:tabs>
          <w:tab w:val="clear" w:pos="0"/>
          <w:tab w:val="num" w:pos="1260"/>
          <w:tab w:val="num" w:pos="2150"/>
        </w:tabs>
        <w:spacing w:after="120" w:line="220" w:lineRule="exact"/>
        <w:ind w:left="1260" w:hanging="360"/>
        <w:jc w:val="both"/>
      </w:pPr>
      <w:r>
        <w:t>de définir et d’illustrer différents concepts et notions relatifs au droit civil, pénal, du travail, de la sécurité sociale ;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1260"/>
          <w:tab w:val="num" w:pos="2150"/>
        </w:tabs>
        <w:spacing w:after="120" w:line="220" w:lineRule="exact"/>
        <w:ind w:left="1260" w:hanging="360"/>
        <w:jc w:val="both"/>
      </w:pPr>
      <w:r>
        <w:t>d'analyser et d'expliciter la situation juridique concernée ;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1260"/>
          <w:tab w:val="num" w:pos="2150"/>
        </w:tabs>
        <w:spacing w:after="120" w:line="220" w:lineRule="exact"/>
        <w:ind w:left="1260" w:hanging="360"/>
        <w:jc w:val="both"/>
      </w:pPr>
      <w:r>
        <w:t>de déterminer le champ et les limites de l'intervention professionnelle de l’assistant social.</w:t>
      </w:r>
    </w:p>
    <w:p>
      <w:pPr>
        <w:spacing w:before="120" w:after="120"/>
        <w:jc w:val="both"/>
        <w:rPr>
          <w:bCs/>
          <w:iCs/>
          <w:sz w:val="22"/>
          <w:szCs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widowControl w:val="0"/>
        <w:numPr>
          <w:ilvl w:val="0"/>
          <w:numId w:val="5"/>
        </w:numPr>
        <w:tabs>
          <w:tab w:val="clear" w:pos="0"/>
          <w:tab w:val="num" w:pos="1260"/>
          <w:tab w:val="num" w:pos="2150"/>
        </w:tabs>
        <w:spacing w:after="120" w:line="220" w:lineRule="exact"/>
        <w:ind w:left="1260" w:hanging="360"/>
        <w:jc w:val="both"/>
        <w:rPr>
          <w:sz w:val="22"/>
        </w:rPr>
      </w:pPr>
      <w:r>
        <w:rPr>
          <w:sz w:val="22"/>
        </w:rPr>
        <w:t>le niveau de précision dans les termes employés,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1260"/>
          <w:tab w:val="num" w:pos="2150"/>
        </w:tabs>
        <w:spacing w:after="120" w:line="220" w:lineRule="exact"/>
        <w:ind w:left="1260" w:hanging="360"/>
        <w:jc w:val="both"/>
        <w:rPr>
          <w:sz w:val="22"/>
        </w:rPr>
      </w:pPr>
      <w:r>
        <w:rPr>
          <w:sz w:val="22"/>
        </w:rPr>
        <w:t xml:space="preserve">le niveau de pertinence de l'analyse, 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1260"/>
          <w:tab w:val="num" w:pos="2150"/>
        </w:tabs>
        <w:spacing w:after="120" w:line="220" w:lineRule="exact"/>
        <w:ind w:left="1260" w:hanging="360"/>
        <w:jc w:val="both"/>
        <w:rPr>
          <w:sz w:val="22"/>
        </w:rPr>
      </w:pPr>
      <w:r>
        <w:rPr>
          <w:sz w:val="22"/>
        </w:rPr>
        <w:t>le niveau d'intégration des concepts.</w:t>
      </w:r>
    </w:p>
    <w:p>
      <w:pPr>
        <w:jc w:val="both"/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rPr>
          <w:i/>
          <w:sz w:val="22"/>
        </w:rPr>
      </w:pPr>
      <w:r>
        <w:rPr>
          <w:i/>
          <w:sz w:val="22"/>
        </w:rPr>
        <w:t>A partir de situations issues de la vie professionnelle de l’assistant social,</w:t>
      </w:r>
    </w:p>
    <w:p>
      <w:pPr>
        <w:rPr>
          <w:i/>
          <w:sz w:val="22"/>
        </w:rPr>
      </w:pPr>
      <w:r>
        <w:rPr>
          <w:i/>
          <w:sz w:val="22"/>
          <w:szCs w:val="22"/>
        </w:rPr>
        <w:t>en utilisant le vocabulaire spécifique,</w:t>
      </w:r>
      <w:r>
        <w:rPr>
          <w:i/>
          <w:sz w:val="22"/>
        </w:rPr>
        <w:t xml:space="preserve"> </w:t>
      </w:r>
    </w:p>
    <w:p>
      <w:pPr>
        <w:rPr>
          <w:i/>
          <w:sz w:val="22"/>
          <w:szCs w:val="22"/>
          <w:lang w:val="fr-BE" w:eastAsia="fr-BE"/>
        </w:rPr>
      </w:pPr>
      <w:r>
        <w:rPr>
          <w:i/>
          <w:sz w:val="22"/>
          <w:szCs w:val="22"/>
          <w:lang w:val="fr-BE" w:eastAsia="fr-BE"/>
        </w:rPr>
        <w:t>en disposant des textes législatifs et de la documentation ad hoc,</w:t>
      </w:r>
    </w:p>
    <w:p>
      <w:pPr>
        <w:rPr>
          <w:i/>
          <w:sz w:val="22"/>
          <w:szCs w:val="22"/>
          <w:lang w:val="fr-BE" w:eastAsia="fr-BE"/>
        </w:rPr>
      </w:pPr>
    </w:p>
    <w:p>
      <w:pPr>
        <w:rPr>
          <w:sz w:val="22"/>
        </w:rPr>
      </w:pPr>
      <w:r>
        <w:rPr>
          <w:sz w:val="22"/>
        </w:rPr>
        <w:t>l’étudiant sera capable :</w:t>
      </w:r>
    </w:p>
    <w:p>
      <w:pPr>
        <w:rPr>
          <w:i/>
          <w:sz w:val="22"/>
          <w:lang w:val="fr-BE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  <w:r>
        <w:rPr>
          <w:b/>
          <w:sz w:val="22"/>
        </w:rPr>
        <w:t>Droit civil</w:t>
      </w:r>
    </w:p>
    <w:p>
      <w:pPr>
        <w:widowControl w:val="0"/>
        <w:tabs>
          <w:tab w:val="left" w:pos="426"/>
          <w:tab w:val="left" w:pos="709"/>
        </w:tabs>
        <w:spacing w:after="120" w:line="220" w:lineRule="exact"/>
        <w:ind w:left="426"/>
        <w:jc w:val="both"/>
        <w:rPr>
          <w:sz w:val="22"/>
        </w:rPr>
      </w:pPr>
    </w:p>
    <w:p>
      <w:pPr>
        <w:widowControl w:val="0"/>
        <w:numPr>
          <w:ilvl w:val="0"/>
          <w:numId w:val="5"/>
        </w:numPr>
        <w:tabs>
          <w:tab w:val="clear" w:pos="0"/>
          <w:tab w:val="left" w:pos="426"/>
          <w:tab w:val="left" w:pos="709"/>
          <w:tab w:val="num" w:pos="1582"/>
        </w:tabs>
        <w:spacing w:after="120" w:line="220" w:lineRule="exact"/>
        <w:ind w:left="426"/>
        <w:jc w:val="both"/>
        <w:rPr>
          <w:sz w:val="22"/>
        </w:rPr>
      </w:pPr>
      <w:r>
        <w:rPr>
          <w:sz w:val="22"/>
        </w:rPr>
        <w:t xml:space="preserve">de </w:t>
      </w:r>
      <w:r>
        <w:rPr>
          <w:sz w:val="22"/>
          <w:szCs w:val="22"/>
        </w:rPr>
        <w:t>s’approprier les notions essentielles relative</w:t>
      </w:r>
      <w:r>
        <w:rPr>
          <w:sz w:val="22"/>
        </w:rPr>
        <w:t>s au droit des personnes :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les personnes (identification : physique/morale, capacité/incapacité),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le couple (mariage, union libre, cohabitation légale) – (obligations alimentaires, divorce/séparation),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le statut des enfants (la filiation/l’adoption et ses effets),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les droits liés à la personnalité (droit à la "vie privée", droit à l’image, ...) ;</w:t>
      </w:r>
    </w:p>
    <w:p>
      <w:pPr>
        <w:spacing w:after="80"/>
        <w:jc w:val="both"/>
        <w:rPr>
          <w:sz w:val="22"/>
        </w:rPr>
      </w:pPr>
    </w:p>
    <w:p>
      <w:pPr>
        <w:widowControl w:val="0"/>
        <w:numPr>
          <w:ilvl w:val="0"/>
          <w:numId w:val="5"/>
        </w:numPr>
        <w:tabs>
          <w:tab w:val="clear" w:pos="0"/>
          <w:tab w:val="left" w:pos="426"/>
          <w:tab w:val="left" w:pos="709"/>
          <w:tab w:val="num" w:pos="1050"/>
          <w:tab w:val="num" w:pos="1582"/>
        </w:tabs>
        <w:spacing w:after="120" w:line="220" w:lineRule="exact"/>
        <w:ind w:left="426"/>
        <w:jc w:val="both"/>
        <w:rPr>
          <w:sz w:val="22"/>
        </w:rPr>
      </w:pPr>
      <w:r>
        <w:rPr>
          <w:sz w:val="22"/>
        </w:rPr>
        <w:t>de s’approprier les concepts de base relevant du droit des biens :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 xml:space="preserve">le patrimoine d’une personne et les différents types de biens, 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les droits réels (propriété, copropriété, usufruit, servitudes) et les créances : création, extinction, droits et obligations des parties 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20"/>
          <w:tab w:val="num" w:pos="1050"/>
          <w:tab w:val="num" w:pos="1582"/>
          <w:tab w:val="num" w:pos="2150"/>
        </w:tabs>
        <w:spacing w:before="240"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s'approprier la notion de responsabilité civile et ses conditions d’application 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before="240"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lastRenderedPageBreak/>
        <w:t>de s’approprier les concepts de base relevant du droit des contrats : définition, conditions de validité, classification des contrats et extinction … 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before="240"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mettre en application les principes de droit civil en analysant les situations proposées.</w:t>
      </w:r>
    </w:p>
    <w:p>
      <w:pPr>
        <w:widowControl w:val="0"/>
        <w:tabs>
          <w:tab w:val="left" w:pos="709"/>
          <w:tab w:val="num" w:pos="1582"/>
          <w:tab w:val="num" w:pos="2150"/>
        </w:tabs>
        <w:spacing w:before="240" w:after="120" w:line="220" w:lineRule="exact"/>
        <w:ind w:left="426"/>
        <w:jc w:val="both"/>
        <w:rPr>
          <w:sz w:val="22"/>
        </w:rPr>
      </w:pPr>
    </w:p>
    <w:p>
      <w:pPr>
        <w:tabs>
          <w:tab w:val="left" w:pos="900"/>
        </w:tabs>
        <w:rPr>
          <w:b/>
          <w:sz w:val="22"/>
          <w:szCs w:val="22"/>
        </w:rPr>
      </w:pPr>
    </w:p>
    <w:p>
      <w:p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Droit pénal</w:t>
      </w:r>
    </w:p>
    <w:p>
      <w:pPr>
        <w:suppressAutoHyphens w:val="0"/>
        <w:rPr>
          <w:rFonts w:ascii="Arial" w:hAnsi="Arial" w:cs="Arial"/>
          <w:sz w:val="23"/>
          <w:szCs w:val="23"/>
          <w:lang w:val="fr-BE" w:eastAsia="fr-BE"/>
        </w:rPr>
      </w:pPr>
    </w:p>
    <w:p>
      <w:pPr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fr-BE"/>
        </w:rPr>
        <w:t>E</w:t>
      </w:r>
      <w:r>
        <w:rPr>
          <w:i/>
          <w:sz w:val="22"/>
          <w:szCs w:val="22"/>
        </w:rPr>
        <w:t xml:space="preserve">n vue d'identifier les champs d'intervention de l'assistant social et d'analyser son rôle spécifique dans la sphère pénale, </w:t>
      </w:r>
    </w:p>
    <w:p>
      <w:pPr>
        <w:suppressAutoHyphens w:val="0"/>
        <w:rPr>
          <w:sz w:val="23"/>
          <w:szCs w:val="23"/>
          <w:lang w:eastAsia="fr-BE"/>
        </w:rPr>
      </w:pP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de caractériser le droit pénal général et le droit pénal spécial, leurs différentes sources et leurs conditions d’application 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de citer et d’analyser les éléments constitutifs d’une infraction 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20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de définir les juridictions compétentes en matière pénale et le rôle des différents acteurs 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20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de décrire les procédures pénales et les modes d’extinction de l’action publique 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de citer les différentes sanctions pénales et les modalités d’application ;</w:t>
      </w:r>
    </w:p>
    <w:p>
      <w:pPr>
        <w:spacing w:before="120"/>
        <w:ind w:left="425"/>
        <w:rPr>
          <w:i/>
        </w:rPr>
      </w:pPr>
    </w:p>
    <w:p>
      <w:p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Droit du travail</w:t>
      </w:r>
    </w:p>
    <w:p>
      <w:pPr>
        <w:rPr>
          <w:i/>
          <w:lang w:val="fr-BE" w:eastAsia="fr-BE"/>
        </w:rPr>
      </w:pP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de s’approprier et d’appliquer les concepts de base relevant du droit individuel du</w:t>
      </w:r>
      <w:r>
        <w:rPr>
          <w:b/>
          <w:sz w:val="22"/>
        </w:rPr>
        <w:t xml:space="preserve"> travail</w:t>
      </w:r>
      <w:r>
        <w:rPr>
          <w:sz w:val="22"/>
        </w:rPr>
        <w:t xml:space="preserve">, notamment : 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les dispositions sociales générales du contrat de travail ;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 xml:space="preserve">les types de contrats de travail ; 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la réglementation du travail ;</w:t>
      </w:r>
    </w:p>
    <w:p>
      <w:pPr>
        <w:suppressAutoHyphens w:val="0"/>
        <w:spacing w:before="60"/>
        <w:ind w:left="12"/>
        <w:jc w:val="both"/>
        <w:rPr>
          <w:sz w:val="22"/>
          <w:szCs w:val="22"/>
        </w:rPr>
      </w:pP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 xml:space="preserve">de s’approprier et d’appliquer les concepts de base relevant du </w:t>
      </w:r>
      <w:r>
        <w:rPr>
          <w:b/>
          <w:sz w:val="22"/>
        </w:rPr>
        <w:t>droit collectif du travail</w:t>
      </w:r>
      <w:r>
        <w:rPr>
          <w:sz w:val="22"/>
        </w:rPr>
        <w:t xml:space="preserve">, notamment : 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les organisations représentatives des travailleurs et des organisations patronales : perspective historique et contemporaine ;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la concertation sociale (instances et missions dans l’entreprise, dans les secteurs d’activités, au niveau interprofessionnel, spécificités du secteur non marchand et du secteur public …) ;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les conventions collectives de travail ;</w:t>
      </w:r>
    </w:p>
    <w:p>
      <w:pPr>
        <w:numPr>
          <w:ilvl w:val="0"/>
          <w:numId w:val="7"/>
        </w:numPr>
        <w:tabs>
          <w:tab w:val="num" w:pos="2856"/>
        </w:tabs>
        <w:spacing w:after="120"/>
        <w:jc w:val="both"/>
        <w:rPr>
          <w:sz w:val="22"/>
        </w:rPr>
      </w:pPr>
      <w:r>
        <w:rPr>
          <w:sz w:val="22"/>
        </w:rPr>
        <w:t>la grève dans ses aspects juridiques.</w:t>
      </w:r>
    </w:p>
    <w:p>
      <w:pPr>
        <w:tabs>
          <w:tab w:val="left" w:pos="709"/>
        </w:tabs>
        <w:ind w:left="425"/>
        <w:jc w:val="both"/>
      </w:pPr>
    </w:p>
    <w:p>
      <w:pPr>
        <w:tabs>
          <w:tab w:val="left" w:pos="709"/>
        </w:tabs>
        <w:ind w:left="425"/>
        <w:jc w:val="both"/>
      </w:pPr>
    </w:p>
    <w:p>
      <w:p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Droit de la sécurité sociale</w:t>
      </w:r>
    </w:p>
    <w:p>
      <w:pPr>
        <w:spacing w:before="120"/>
        <w:ind w:left="425" w:firstLine="476"/>
        <w:rPr>
          <w:lang w:val="fr-BE"/>
        </w:rPr>
      </w:pP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d'expliquer les principes fondamentaux de la sécurité sociale, notamment son organisation et son financement 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de caractériser les différents secteurs et, au sein de chacun d'eux, les bénéficiaires, les conditions d’octroi, les avantages et obligations, et les obligations de l’employeur 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lastRenderedPageBreak/>
        <w:t>de distinguer les régimes des salariés et des indépendants 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de distinguer les régimes de sécurité sociale et les régimes résiduaires (RIS, GRAPA…) ;</w:t>
      </w:r>
    </w:p>
    <w:p>
      <w:pPr>
        <w:widowControl w:val="0"/>
        <w:numPr>
          <w:ilvl w:val="0"/>
          <w:numId w:val="5"/>
        </w:numPr>
        <w:tabs>
          <w:tab w:val="clear" w:pos="0"/>
          <w:tab w:val="left" w:pos="709"/>
          <w:tab w:val="num" w:pos="1050"/>
          <w:tab w:val="num" w:pos="1582"/>
          <w:tab w:val="num" w:pos="2150"/>
        </w:tabs>
        <w:spacing w:after="240" w:line="220" w:lineRule="exact"/>
        <w:ind w:left="720" w:hanging="294"/>
        <w:jc w:val="both"/>
        <w:rPr>
          <w:sz w:val="22"/>
        </w:rPr>
      </w:pPr>
      <w:r>
        <w:rPr>
          <w:sz w:val="22"/>
        </w:rPr>
        <w:t>de mettre en application les principes de la sécurité sociale en analysant les situations proposées.</w:t>
      </w:r>
    </w:p>
    <w:p>
      <w:pPr>
        <w:rPr>
          <w:b/>
          <w:sz w:val="22"/>
        </w:rPr>
      </w:pPr>
    </w:p>
    <w:p>
      <w:pPr>
        <w:jc w:val="both"/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jc w:val="both"/>
        <w:rPr>
          <w:b/>
          <w:sz w:val="22"/>
        </w:rPr>
      </w:pPr>
    </w:p>
    <w:p>
      <w:pPr>
        <w:jc w:val="both"/>
        <w:rPr>
          <w:b/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283" w:hanging="283"/>
        <w:jc w:val="both"/>
        <w:rPr>
          <w:b/>
          <w:sz w:val="22"/>
        </w:rPr>
      </w:pP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bookmarkStart w:id="4" w:name="VOL"/>
            <w:bookmarkEnd w:id="4"/>
            <w:r>
              <w:rPr>
                <w:sz w:val="22"/>
                <w:szCs w:val="22"/>
              </w:rPr>
              <w:t>Droit civil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pénal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du travail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de la sécurité sociale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ind w:left="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left="426" w:right="47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pPr>
        <w:ind w:left="283" w:hanging="283"/>
        <w:jc w:val="both"/>
        <w:rPr>
          <w:b/>
          <w:sz w:val="22"/>
        </w:rPr>
      </w:pPr>
    </w:p>
    <w:p>
      <w:pPr>
        <w:ind w:left="283" w:hanging="283"/>
        <w:jc w:val="both"/>
        <w:rPr>
          <w:b/>
          <w:sz w:val="22"/>
        </w:rPr>
      </w:pPr>
    </w:p>
    <w:p>
      <w:pPr>
        <w:jc w:val="both"/>
        <w:rPr>
          <w:b/>
          <w:sz w:val="22"/>
        </w:rPr>
      </w:pPr>
      <w:bookmarkStart w:id="5" w:name="CAT"/>
      <w:bookmarkEnd w:id="5"/>
    </w:p>
    <w:p>
      <w:pPr>
        <w:ind w:left="426"/>
        <w:jc w:val="both"/>
      </w:pPr>
    </w:p>
    <w:p/>
    <w:sectPr>
      <w:headerReference w:type="even" r:id="rId13"/>
      <w:headerReference w:type="default" r:id="rId14"/>
      <w:footerReference w:type="default" r:id="rId15"/>
      <w:headerReference w:type="first" r:id="rId16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szCs w:val="16"/>
      </w:rPr>
    </w:pPr>
    <w:r>
      <w:rPr>
        <w:sz w:val="16"/>
        <w:szCs w:val="16"/>
      </w:rPr>
      <w:t xml:space="preserve"> Bac AS : Droit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>/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5</w:t>
    </w:r>
    <w:r>
      <w:rPr>
        <w:rStyle w:val="Numrodepage"/>
        <w:sz w:val="16"/>
        <w:szCs w:val="16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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5" w15:restartNumberingAfterBreak="0">
    <w:nsid w:val="03F87A88"/>
    <w:multiLevelType w:val="multilevel"/>
    <w:tmpl w:val="12A489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hint="default"/>
      </w:rPr>
    </w:lvl>
  </w:abstractNum>
  <w:abstractNum w:abstractNumId="6" w15:restartNumberingAfterBreak="0">
    <w:nsid w:val="16F27208"/>
    <w:multiLevelType w:val="hybridMultilevel"/>
    <w:tmpl w:val="CEC88618"/>
    <w:lvl w:ilvl="0" w:tplc="FFFFFFFF">
      <w:start w:val="1"/>
      <w:numFmt w:val="bullet"/>
      <w:lvlText w:val="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26F1848"/>
    <w:multiLevelType w:val="hybridMultilevel"/>
    <w:tmpl w:val="4E347068"/>
    <w:lvl w:ilvl="0" w:tplc="DB829182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 w:hint="default"/>
        <w:sz w:val="20"/>
      </w:rPr>
    </w:lvl>
    <w:lvl w:ilvl="1" w:tplc="F9780B3E">
      <w:start w:val="1"/>
      <w:numFmt w:val="bullet"/>
      <w:lvlText w:val=""/>
      <w:lvlJc w:val="left"/>
      <w:pPr>
        <w:tabs>
          <w:tab w:val="num" w:pos="2856"/>
        </w:tabs>
        <w:ind w:left="2779" w:hanging="283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405588F"/>
    <w:multiLevelType w:val="hybridMultilevel"/>
    <w:tmpl w:val="411AF79C"/>
    <w:lvl w:ilvl="0" w:tplc="040C000F">
      <w:start w:val="1"/>
      <w:numFmt w:val="decimal"/>
      <w:lvlText w:val="%1."/>
      <w:lvlJc w:val="left"/>
      <w:pPr>
        <w:tabs>
          <w:tab w:val="num" w:pos="2336"/>
        </w:tabs>
        <w:ind w:left="233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056"/>
        </w:tabs>
        <w:ind w:left="30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76"/>
        </w:tabs>
        <w:ind w:left="37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96"/>
        </w:tabs>
        <w:ind w:left="44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16"/>
        </w:tabs>
        <w:ind w:left="52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36"/>
        </w:tabs>
        <w:ind w:left="59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56"/>
        </w:tabs>
        <w:ind w:left="66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76"/>
        </w:tabs>
        <w:ind w:left="73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96"/>
        </w:tabs>
        <w:ind w:left="8096" w:hanging="180"/>
      </w:pPr>
    </w:lvl>
  </w:abstractNum>
  <w:abstractNum w:abstractNumId="11" w15:restartNumberingAfterBreak="0">
    <w:nsid w:val="4B554529"/>
    <w:multiLevelType w:val="hybridMultilevel"/>
    <w:tmpl w:val="F76EE2B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01CFD"/>
    <w:multiLevelType w:val="hybridMultilevel"/>
    <w:tmpl w:val="D318D68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31B74"/>
    <w:multiLevelType w:val="hybridMultilevel"/>
    <w:tmpl w:val="C6622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C04C8"/>
    <w:multiLevelType w:val="hybridMultilevel"/>
    <w:tmpl w:val="57887138"/>
    <w:lvl w:ilvl="0" w:tplc="080C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5" w15:restartNumberingAfterBreak="0">
    <w:nsid w:val="798C4996"/>
    <w:multiLevelType w:val="hybridMultilevel"/>
    <w:tmpl w:val="A358ECB0"/>
    <w:lvl w:ilvl="0" w:tplc="FFFFFFFF">
      <w:start w:val="1"/>
      <w:numFmt w:val="bullet"/>
      <w:lvlText w:val=""/>
      <w:legacy w:legacy="1" w:legacySpace="0" w:legacyIndent="360"/>
      <w:lvlJc w:val="left"/>
      <w:pPr>
        <w:ind w:left="17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8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color w:val="auto"/>
          <w:sz w:val="18"/>
        </w:rPr>
      </w:lvl>
    </w:lvlOverride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2192848-2408-4075-AD2B-C1BF2616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eastAsia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Calibri" w:eastAsia="Calibri" w:hAnsi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libri" w:hAnsi="Calibri" w:cs="Times New Roman"/>
      <w:sz w:val="24"/>
      <w:szCs w:val="24"/>
      <w:lang w:val="fr-FR" w:eastAsia="ar-SA" w:bidi="ar-SA"/>
    </w:rPr>
  </w:style>
  <w:style w:type="character" w:customStyle="1" w:styleId="Titre2Car">
    <w:name w:val="Titre 2 Car"/>
    <w:link w:val="Titre2"/>
    <w:uiPriority w:val="99"/>
    <w:locked/>
    <w:rPr>
      <w:rFonts w:cs="Times New Roman"/>
      <w:b/>
      <w:bCs/>
      <w:lang w:val="fr-FR" w:eastAsia="ar-SA" w:bidi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Textebrut">
    <w:name w:val="Plain Text"/>
    <w:basedOn w:val="Normal"/>
    <w:pPr>
      <w:widowControl w:val="0"/>
      <w:spacing w:line="100" w:lineRule="atLeast"/>
    </w:pPr>
    <w:rPr>
      <w:rFonts w:ascii="Consolas" w:eastAsia="SimSun" w:hAnsi="Consolas" w:cs="Mangal"/>
      <w:color w:val="00000A"/>
      <w:sz w:val="21"/>
      <w:szCs w:val="21"/>
      <w:lang w:val="fr-BE" w:eastAsia="zh-CN" w:bidi="hi-IN"/>
    </w:rPr>
  </w:style>
  <w:style w:type="character" w:styleId="Numrodepage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Institut Ferdinand Cocq Ixelles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christiane</dc:creator>
  <cp:lastModifiedBy>goulet02</cp:lastModifiedBy>
  <cp:revision>13</cp:revision>
  <cp:lastPrinted>2016-12-07T14:01:00Z</cp:lastPrinted>
  <dcterms:created xsi:type="dcterms:W3CDTF">2015-08-17T12:31:00Z</dcterms:created>
  <dcterms:modified xsi:type="dcterms:W3CDTF">2016-12-07T14:01:00Z</dcterms:modified>
</cp:coreProperties>
</file>