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/>
    <w:p/>
    <w:p>
      <w:pPr>
        <w:pStyle w:val="Titre2"/>
        <w:rPr>
          <w:caps/>
          <w:sz w:val="22"/>
        </w:rPr>
      </w:pPr>
      <w:r>
        <w:rPr>
          <w:sz w:val="22"/>
        </w:rP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 xml:space="preserve">BACHELIER ASSISTANT SOCIAL : </w:t>
      </w:r>
    </w:p>
    <w:p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 xml:space="preserve">OUTILS APPLIQUES A </w:t>
      </w:r>
      <w:smartTag w:uri="urn:schemas-microsoft-com:office:smarttags" w:element="PersonName">
        <w:smartTagPr>
          <w:attr w:name="ProductID" w:val="LA RECHERCHE EN TRAVAIL"/>
        </w:smartTagPr>
        <w:r>
          <w:rPr>
            <w:bCs w:val="0"/>
            <w:sz w:val="32"/>
            <w:szCs w:val="32"/>
          </w:rPr>
          <w:t>LA RECHERCHE EN TRAVAIL</w:t>
        </w:r>
      </w:smartTag>
      <w:r>
        <w:rPr>
          <w:bCs w:val="0"/>
          <w:sz w:val="32"/>
          <w:szCs w:val="32"/>
        </w:rPr>
        <w:t xml:space="preserve"> SOCIAL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Domaine : Sciences Politiques et sociales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99 20 12U35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b/>
                <w:sz w:val="22"/>
                <w:lang w:eastAsia="fr-FR"/>
              </w:rPr>
              <w:t>CODE DU DOMAINE DE FORMATION : 902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1418" w:right="992" w:bottom="1293" w:left="1418" w:header="720" w:footer="720" w:gutter="0"/>
          <w:cols w:space="720"/>
          <w:titlePg/>
          <w:docGrid w:linePitch="360"/>
        </w:sectPr>
      </w:pPr>
    </w:p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10 octobre 2016,</w:t>
      </w:r>
    </w:p>
    <w:p>
      <w:pPr>
        <w:jc w:val="center"/>
        <w:rPr>
          <w:lang w:val="fr-BE"/>
        </w:rPr>
      </w:pPr>
      <w:r>
        <w:rPr>
          <w:b/>
        </w:rPr>
        <w:t xml:space="preserve">sur avis conforme </w:t>
      </w:r>
      <w:r>
        <w:rPr>
          <w:b/>
          <w:sz w:val="22"/>
          <w:szCs w:val="22"/>
          <w:lang w:eastAsia="fr-FR"/>
        </w:rPr>
        <w:t>sur avis conforme 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BACHELIER ASSISTANT SOCIAL : </w:t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OUTILS APPLIQUES A LA RECHERCHE EN TRAVAIL SOCIAL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de formation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3" w:name="FIP"/>
      <w:bookmarkEnd w:id="3"/>
      <w:r>
        <w:rPr>
          <w:sz w:val="22"/>
        </w:rPr>
        <w:t>Cette unité d'enseignement vise à permettre à l'étudiant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s'approprier les principes et démarches de la recherche en travail social ;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d’intégrer l’utilisation des technologies de l’information et de la communication dans le cadre d’une intervention dans le champ professionnel.</w:t>
      </w:r>
    </w:p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ind w:left="792"/>
        <w:rPr>
          <w:b/>
          <w:sz w:val="22"/>
        </w:rPr>
      </w:pP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résumer les idées essentielles d’un texte d’intérêt général et les critiquer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produire un message structuré qui exprime un avis, une prise de position devant un fait, un événement … (des documents d’information pouvant être mis à disposition).</w:t>
      </w:r>
    </w:p>
    <w:p>
      <w:pPr>
        <w:tabs>
          <w:tab w:val="num" w:pos="1134"/>
        </w:tabs>
        <w:suppressAutoHyphens w:val="0"/>
        <w:ind w:left="1134"/>
        <w:jc w:val="both"/>
        <w:rPr>
          <w:sz w:val="22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pStyle w:val="normal01"/>
        <w:numPr>
          <w:ilvl w:val="0"/>
          <w:numId w:val="0"/>
        </w:numPr>
        <w:tabs>
          <w:tab w:val="left" w:pos="1068"/>
        </w:tabs>
        <w:ind w:left="900"/>
        <w:rPr>
          <w:szCs w:val="22"/>
        </w:rPr>
      </w:pPr>
      <w:r>
        <w:rPr>
          <w:szCs w:val="22"/>
        </w:rPr>
        <w:t xml:space="preserve">Certificat d'enseignement secondaire supérieur - C.E.S.S. 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numPr>
          <w:ilvl w:val="0"/>
          <w:numId w:val="2"/>
        </w:numPr>
        <w:tabs>
          <w:tab w:val="clear" w:pos="360"/>
          <w:tab w:val="num" w:pos="720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  <w:r>
        <w:rPr>
          <w:b/>
          <w:sz w:val="22"/>
        </w:rPr>
        <w:lastRenderedPageBreak/>
        <w:t>ACQUIS D'APPRENTISSAGE</w:t>
      </w:r>
      <w:r>
        <w:rPr>
          <w:b/>
          <w:sz w:val="22"/>
          <w:u w:val="single"/>
        </w:rPr>
        <w:t xml:space="preserve"> </w:t>
      </w:r>
    </w:p>
    <w:p>
      <w:pPr>
        <w:ind w:left="708" w:hanging="708"/>
        <w:rPr>
          <w:sz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Pour atteindre le seuil de réussite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l’étudiant sera capable :</w:t>
      </w:r>
    </w:p>
    <w:p>
      <w:pPr>
        <w:jc w:val="both"/>
      </w:pPr>
    </w:p>
    <w:p>
      <w:pPr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à partir d’une problématique donnée relevant du champ d’intervention de l’assistant social,</w:t>
      </w:r>
    </w:p>
    <w:p>
      <w:pPr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respectant </w:t>
      </w:r>
      <w:r>
        <w:rPr>
          <w:i/>
          <w:iCs/>
          <w:sz w:val="22"/>
          <w:szCs w:val="22"/>
          <w:lang w:eastAsia="fr-FR"/>
        </w:rPr>
        <w:t>la déontologie professionnelle,</w:t>
      </w:r>
    </w:p>
    <w:p>
      <w:pPr>
        <w:ind w:left="360"/>
        <w:jc w:val="both"/>
        <w:rPr>
          <w:i/>
          <w:sz w:val="22"/>
        </w:rPr>
      </w:pPr>
      <w:r>
        <w:rPr>
          <w:i/>
          <w:sz w:val="22"/>
        </w:rPr>
        <w:t>en respectant les usages de la langue française et du vocabulaire professionnel,</w:t>
      </w:r>
    </w:p>
    <w:p>
      <w:pPr>
        <w:ind w:left="360"/>
        <w:jc w:val="both"/>
        <w:rPr>
          <w:i/>
        </w:rPr>
      </w:pP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proposer une méthodologie de recherche qui intègre les points suivants : objectifs, hypothèses de travail, données à recueillir, modalités de recueil et référents théoriques à mobiliser 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 xml:space="preserve">de présenter un message adapté en utilisant les technologies de l’information et de la communication. </w:t>
      </w:r>
    </w:p>
    <w:p>
      <w:pPr>
        <w:widowControl w:val="0"/>
        <w:tabs>
          <w:tab w:val="left" w:pos="720"/>
        </w:tabs>
        <w:spacing w:after="120" w:line="220" w:lineRule="exact"/>
        <w:ind w:left="720"/>
        <w:jc w:val="both"/>
        <w:rPr>
          <w:sz w:val="22"/>
        </w:rPr>
      </w:pPr>
    </w:p>
    <w:p>
      <w:pPr>
        <w:ind w:left="284"/>
        <w:jc w:val="both"/>
        <w:rPr>
          <w:b/>
          <w:sz w:val="22"/>
          <w:lang w:val="fr-BE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sz w:val="22"/>
        </w:rPr>
      </w:pP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 xml:space="preserve">le niveau de rigueur de la démarche, 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le niveau de précision dans les termes employés,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le niveau de créativité ou d’originalité.</w:t>
      </w:r>
    </w:p>
    <w:p>
      <w:pPr>
        <w:jc w:val="both"/>
        <w:rPr>
          <w:b/>
          <w:sz w:val="22"/>
        </w:rPr>
      </w:pPr>
    </w:p>
    <w:p>
      <w:pPr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rPr>
          <w:sz w:val="22"/>
        </w:rPr>
      </w:pPr>
      <w:r>
        <w:rPr>
          <w:sz w:val="22"/>
        </w:rPr>
        <w:t>L'étudiant sera capable :</w:t>
      </w:r>
    </w:p>
    <w:p>
      <w:pPr>
        <w:jc w:val="both"/>
        <w:rPr>
          <w:i/>
          <w:sz w:val="22"/>
        </w:rPr>
      </w:pPr>
    </w:p>
    <w:p>
      <w:pPr>
        <w:rPr>
          <w:i/>
          <w:iCs/>
          <w:sz w:val="22"/>
          <w:szCs w:val="24"/>
          <w:lang w:eastAsia="fr-FR"/>
        </w:rPr>
      </w:pPr>
      <w:r>
        <w:rPr>
          <w:i/>
          <w:iCs/>
          <w:sz w:val="22"/>
          <w:szCs w:val="24"/>
          <w:lang w:eastAsia="fr-FR"/>
        </w:rPr>
        <w:t>en respectant la déontologie professionnelle,</w:t>
      </w:r>
    </w:p>
    <w:p>
      <w:pPr>
        <w:rPr>
          <w:i/>
          <w:sz w:val="22"/>
        </w:rPr>
      </w:pPr>
      <w:r>
        <w:rPr>
          <w:i/>
          <w:iCs/>
          <w:sz w:val="22"/>
          <w:szCs w:val="24"/>
          <w:lang w:eastAsia="fr-FR"/>
        </w:rPr>
        <w:t xml:space="preserve">en respectant </w:t>
      </w:r>
      <w:r>
        <w:rPr>
          <w:i/>
          <w:sz w:val="22"/>
        </w:rPr>
        <w:t>les usages de la langue française et du vocabulaire professionnel,</w:t>
      </w:r>
    </w:p>
    <w:p>
      <w:pPr>
        <w:rPr>
          <w:i/>
          <w:sz w:val="22"/>
        </w:rPr>
      </w:pP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rPr>
          <w:sz w:val="22"/>
        </w:rPr>
      </w:pPr>
    </w:p>
    <w:p>
      <w:pPr>
        <w:rPr>
          <w:b/>
          <w:sz w:val="22"/>
          <w:szCs w:val="22"/>
          <w:lang w:eastAsia="fr-BE"/>
        </w:rPr>
      </w:pPr>
      <w:r>
        <w:rPr>
          <w:b/>
          <w:sz w:val="22"/>
          <w:szCs w:val="22"/>
          <w:lang w:eastAsia="fr-BE"/>
        </w:rPr>
        <w:t>Méthodologie de la recherche en travail social</w:t>
      </w:r>
    </w:p>
    <w:p>
      <w:pPr>
        <w:rPr>
          <w:b/>
          <w:sz w:val="22"/>
          <w:szCs w:val="22"/>
          <w:lang w:eastAsia="fr-BE"/>
        </w:rPr>
      </w:pP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  <w:lang w:eastAsia="fr-BE"/>
        </w:rPr>
        <w:t>d’identifier la pertinence de la recherche en travail social ;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360"/>
          <w:tab w:val="left" w:pos="709"/>
        </w:tabs>
        <w:spacing w:after="120" w:line="220" w:lineRule="exact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  <w:lang w:eastAsia="fr-BE"/>
        </w:rPr>
        <w:t>de repérer l’utilité, les fonctions et les limites d’instruments de recueil de données telles que enquêtes, analyse documentaire, statistiques … 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before="240"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sélectionner la littérature professionnelle utile à une problématique (ressources documentaires, des travaux de recherche pertinents, documents professionnels actuels …) 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before="240"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délimiter clairement et précisément une question de recherche 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formuler une hypothèse de travail et de définir des indicateurs ;</w:t>
      </w:r>
    </w:p>
    <w:p>
      <w:pPr>
        <w:numPr>
          <w:ilvl w:val="0"/>
          <w:numId w:val="5"/>
        </w:numPr>
        <w:tabs>
          <w:tab w:val="clear" w:pos="0"/>
          <w:tab w:val="num" w:pos="426"/>
        </w:tabs>
        <w:suppressAutoHyphens w:val="0"/>
        <w:spacing w:before="120"/>
        <w:ind w:left="786" w:hanging="360"/>
        <w:jc w:val="both"/>
        <w:rPr>
          <w:sz w:val="22"/>
          <w:szCs w:val="22"/>
        </w:rPr>
      </w:pPr>
      <w:r>
        <w:rPr>
          <w:sz w:val="22"/>
          <w:szCs w:val="22"/>
        </w:rPr>
        <w:t>d’identifier les étapes et outils qui témoignent de la rigueur d’une démarche scientifique de recherche en travail social 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before="240"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respecter les conventions en usage dans les écrits scientifiques : bibliographie, notes en bas de page, intégration de citations…</w:t>
      </w:r>
    </w:p>
    <w:p>
      <w:pPr>
        <w:numPr>
          <w:ilvl w:val="12"/>
          <w:numId w:val="0"/>
        </w:numPr>
        <w:spacing w:before="120"/>
        <w:ind w:left="360"/>
        <w:jc w:val="both"/>
        <w:rPr>
          <w:sz w:val="22"/>
          <w:szCs w:val="22"/>
          <w:lang w:eastAsia="fr-FR"/>
        </w:rPr>
      </w:pPr>
    </w:p>
    <w:p>
      <w:pPr>
        <w:numPr>
          <w:ilvl w:val="12"/>
          <w:numId w:val="0"/>
        </w:numPr>
        <w:rPr>
          <w:b/>
          <w:sz w:val="22"/>
        </w:rPr>
      </w:pPr>
    </w:p>
    <w:p>
      <w:pPr>
        <w:numPr>
          <w:ilvl w:val="12"/>
          <w:numId w:val="0"/>
        </w:numPr>
        <w:rPr>
          <w:b/>
          <w:sz w:val="22"/>
        </w:rPr>
      </w:pPr>
      <w:r>
        <w:rPr>
          <w:b/>
          <w:sz w:val="22"/>
        </w:rPr>
        <w:t>Méthodologie : Technologies de l’information et de la communication</w:t>
      </w:r>
    </w:p>
    <w:p>
      <w:pPr>
        <w:numPr>
          <w:ilvl w:val="12"/>
          <w:numId w:val="0"/>
        </w:numPr>
        <w:rPr>
          <w:b/>
          <w:sz w:val="22"/>
        </w:rPr>
      </w:pP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déterminer les moyens médiatiques ou les technologies de l’information et de la communication appropriés aux objectifs d’une intervention dans le champ professionnel de l’assistant social et adaptés au public visé 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lastRenderedPageBreak/>
        <w:t>d’utiliser des outils relevant des technologies de l’information et de la communication pour soutenir une intervention sociale 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d’identifier l’impact de l’utilisation de ces technologies sur les individus, des collectivités et communautés 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d’élaborer un message adapté aux bénéficiaires et aux services en utilisant les technologies de l’information et de la communication.</w:t>
      </w:r>
    </w:p>
    <w:p>
      <w:pPr>
        <w:numPr>
          <w:ilvl w:val="12"/>
          <w:numId w:val="0"/>
        </w:numPr>
        <w:rPr>
          <w:b/>
          <w:sz w:val="22"/>
        </w:rPr>
      </w:pPr>
    </w:p>
    <w:p>
      <w:pPr>
        <w:numPr>
          <w:ilvl w:val="12"/>
          <w:numId w:val="0"/>
        </w:numPr>
        <w:rPr>
          <w:b/>
          <w:sz w:val="22"/>
        </w:rPr>
      </w:pPr>
      <w:r>
        <w:rPr>
          <w:b/>
          <w:sz w:val="22"/>
        </w:rPr>
        <w:tab/>
      </w:r>
    </w:p>
    <w:p>
      <w:pPr>
        <w:suppressAutoHyphens w:val="0"/>
        <w:rPr>
          <w:b/>
          <w:sz w:val="22"/>
        </w:rPr>
      </w:pPr>
    </w:p>
    <w:p>
      <w:pPr>
        <w:numPr>
          <w:ilvl w:val="12"/>
          <w:numId w:val="0"/>
        </w:numPr>
        <w:rPr>
          <w:b/>
          <w:sz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shd w:val="clear" w:color="auto" w:fill="FFFFFF"/>
        <w:spacing w:before="288"/>
        <w:ind w:left="284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Il est recommandé de ne pas dépasser le nombre de 15 étudiants par groupe.</w:t>
      </w:r>
    </w:p>
    <w:p>
      <w:pPr>
        <w:shd w:val="clear" w:color="auto" w:fill="FFFFFF"/>
        <w:spacing w:before="288"/>
        <w:ind w:left="284"/>
        <w:jc w:val="both"/>
        <w:rPr>
          <w:spacing w:val="-5"/>
          <w:sz w:val="22"/>
          <w:szCs w:val="22"/>
        </w:rPr>
      </w:pPr>
    </w:p>
    <w:p>
      <w:pPr>
        <w:shd w:val="clear" w:color="auto" w:fill="FFFFFF"/>
        <w:spacing w:before="288"/>
        <w:ind w:left="284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  <w:u w:val="single"/>
        </w:rPr>
        <w:t>HORAIRE MINIMUM DE L’UNITE D'ENSEIGNEMENT</w:t>
      </w:r>
    </w:p>
    <w:p>
      <w:pPr>
        <w:ind w:left="283" w:hanging="283"/>
        <w:jc w:val="both"/>
        <w:rPr>
          <w:b/>
          <w:sz w:val="22"/>
        </w:rPr>
      </w:pPr>
    </w:p>
    <w:p>
      <w:pPr>
        <w:ind w:left="708" w:hanging="708"/>
        <w:rPr>
          <w:sz w:val="22"/>
        </w:rPr>
      </w:pPr>
      <w:bookmarkStart w:id="4" w:name="CAT"/>
      <w:bookmarkEnd w:id="4"/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Méthodologie de la recherche en travail social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Méthodologie : Technologies de l’information et de la communication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bookmarkStart w:id="5" w:name="VOL"/>
            <w:bookmarkEnd w:id="5"/>
            <w:r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left="426" w:right="47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pPr>
        <w:jc w:val="both"/>
        <w:rPr>
          <w:b/>
          <w:sz w:val="22"/>
        </w:rPr>
      </w:pPr>
    </w:p>
    <w:p>
      <w:pPr>
        <w:jc w:val="both"/>
      </w:pPr>
    </w:p>
    <w:p>
      <w:pPr>
        <w:ind w:left="284"/>
        <w:jc w:val="both"/>
      </w:pPr>
    </w:p>
    <w:p/>
    <w:p/>
    <w:sectPr>
      <w:headerReference w:type="even" r:id="rId13"/>
      <w:headerReference w:type="default" r:id="rId14"/>
      <w:footerReference w:type="default" r:id="rId15"/>
      <w:headerReference w:type="first" r:id="rId16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right"/>
      <w:rPr>
        <w:sz w:val="16"/>
        <w:szCs w:val="16"/>
        <w:lang w:val="fr-BE"/>
      </w:rPr>
    </w:pPr>
    <w:r>
      <w:rPr>
        <w:sz w:val="16"/>
        <w:szCs w:val="16"/>
        <w:lang w:val="fr-BE"/>
      </w:rPr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 xml:space="preserve"> sur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szCs w:val="16"/>
        <w:lang w:val="fr-BE"/>
      </w:rPr>
    </w:pPr>
    <w:r>
      <w:rPr>
        <w:sz w:val="16"/>
        <w:szCs w:val="16"/>
        <w:lang w:val="fr-BE"/>
      </w:rPr>
      <w:t>Bac AS :Outils appliqués à la recherche en travail social</w:t>
    </w:r>
    <w:r>
      <w:rPr>
        <w:sz w:val="16"/>
        <w:szCs w:val="16"/>
        <w:lang w:val="fr-BE"/>
      </w:rPr>
      <w:tab/>
    </w:r>
    <w:r>
      <w:rPr>
        <w:sz w:val="16"/>
        <w:szCs w:val="16"/>
        <w:lang w:val="fr-BE"/>
      </w:rPr>
      <w:tab/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>/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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5" w15:restartNumberingAfterBreak="0">
    <w:nsid w:val="03C3033F"/>
    <w:multiLevelType w:val="hybridMultilevel"/>
    <w:tmpl w:val="81D68932"/>
    <w:lvl w:ilvl="0" w:tplc="6D7C933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CC5756"/>
    <w:multiLevelType w:val="hybridMultilevel"/>
    <w:tmpl w:val="9362B6A0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F7C6885"/>
    <w:multiLevelType w:val="hybridMultilevel"/>
    <w:tmpl w:val="E4C64358"/>
    <w:lvl w:ilvl="0" w:tplc="6D7C933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6F1848"/>
    <w:multiLevelType w:val="hybridMultilevel"/>
    <w:tmpl w:val="4E347068"/>
    <w:lvl w:ilvl="0" w:tplc="DB829182">
      <w:start w:val="1"/>
      <w:numFmt w:val="bullet"/>
      <w:lvlText w:val=""/>
      <w:lvlJc w:val="left"/>
      <w:pPr>
        <w:tabs>
          <w:tab w:val="num" w:pos="1050"/>
        </w:tabs>
        <w:ind w:left="1050" w:hanging="340"/>
      </w:pPr>
      <w:rPr>
        <w:rFonts w:ascii="Symbol" w:hAnsi="Symbol" w:hint="default"/>
        <w:sz w:val="20"/>
      </w:rPr>
    </w:lvl>
    <w:lvl w:ilvl="1" w:tplc="F9780B3E">
      <w:start w:val="1"/>
      <w:numFmt w:val="bullet"/>
      <w:lvlText w:val=""/>
      <w:lvlJc w:val="left"/>
      <w:pPr>
        <w:tabs>
          <w:tab w:val="num" w:pos="2150"/>
        </w:tabs>
        <w:ind w:left="2073" w:hanging="283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A7D122A"/>
    <w:multiLevelType w:val="hybridMultilevel"/>
    <w:tmpl w:val="7A06B22E"/>
    <w:lvl w:ilvl="0" w:tplc="CBFAB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B0D29"/>
    <w:multiLevelType w:val="hybridMultilevel"/>
    <w:tmpl w:val="83B41724"/>
    <w:lvl w:ilvl="0" w:tplc="6D7C933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FB67216"/>
    <w:multiLevelType w:val="hybridMultilevel"/>
    <w:tmpl w:val="DE0E6C44"/>
    <w:lvl w:ilvl="0" w:tplc="34C253DC">
      <w:numFmt w:val="bullet"/>
      <w:lvlText w:val=""/>
      <w:lvlJc w:val="left"/>
      <w:pPr>
        <w:tabs>
          <w:tab w:val="num" w:pos="851"/>
        </w:tabs>
        <w:ind w:left="851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45E94D87"/>
    <w:multiLevelType w:val="hybridMultilevel"/>
    <w:tmpl w:val="0016B138"/>
    <w:lvl w:ilvl="0" w:tplc="6D7C933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31B74"/>
    <w:multiLevelType w:val="hybridMultilevel"/>
    <w:tmpl w:val="C6622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731F"/>
    <w:multiLevelType w:val="hybridMultilevel"/>
    <w:tmpl w:val="57723B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C04C8"/>
    <w:multiLevelType w:val="hybridMultilevel"/>
    <w:tmpl w:val="57887138"/>
    <w:lvl w:ilvl="0" w:tplc="080C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17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color w:val="auto"/>
          <w:sz w:val="18"/>
        </w:rPr>
      </w:lvl>
    </w:lvlOverride>
  </w:num>
  <w:num w:numId="9">
    <w:abstractNumId w:val="4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B9D403B-A189-491F-AB5F-F8729F3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" w:hAnsi="Calibri" w:cs="Times New Roman"/>
      <w:sz w:val="24"/>
      <w:szCs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cs="Times New Roman"/>
      <w:b/>
      <w:bCs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semiHidden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olicepardfaut"/>
    <w:uiPriority w:val="99"/>
    <w:rPr>
      <w:rFonts w:cs="Times New Roman"/>
    </w:rPr>
  </w:style>
  <w:style w:type="character" w:customStyle="1" w:styleId="highlight">
    <w:name w:val="highlight"/>
    <w:basedOn w:val="Policepardfaut"/>
    <w:uiPriority w:val="99"/>
    <w:rPr>
      <w:rFonts w:cs="Times New Roman"/>
    </w:rPr>
  </w:style>
  <w:style w:type="paragraph" w:styleId="Retraitcorpsdetexte3">
    <w:name w:val="Body Text Indent 3"/>
    <w:basedOn w:val="Normal"/>
    <w:link w:val="Retraitcorpsdetexte3C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ascii="Times New Roman" w:hAnsi="Times New Roman" w:cs="Times New Roman"/>
      <w:sz w:val="16"/>
      <w:szCs w:val="16"/>
      <w:lang w:val="fr-FR" w:eastAsia="ar-SA" w:bidi="ar-S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/>
      <w:b/>
      <w:bCs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15</cp:revision>
  <cp:lastPrinted>2015-05-21T09:46:00Z</cp:lastPrinted>
  <dcterms:created xsi:type="dcterms:W3CDTF">2015-08-17T13:02:00Z</dcterms:created>
  <dcterms:modified xsi:type="dcterms:W3CDTF">2016-12-07T14:05:00Z</dcterms:modified>
</cp:coreProperties>
</file>